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51" w:rsidRPr="003F7301" w:rsidRDefault="004201D4" w:rsidP="007D7451">
      <w:pPr>
        <w:spacing w:line="360" w:lineRule="auto"/>
        <w:jc w:val="center"/>
        <w:rPr>
          <w:rFonts w:cs="Arial"/>
          <w:b/>
          <w:sz w:val="26"/>
        </w:rPr>
      </w:pPr>
      <w:r w:rsidRPr="003F7301">
        <w:rPr>
          <w:rFonts w:cs="Arial"/>
          <w:b/>
          <w:sz w:val="26"/>
        </w:rPr>
        <w:t>Funding Dual Enrollment</w:t>
      </w:r>
    </w:p>
    <w:p w:rsidR="004201D4" w:rsidRPr="000F6CCE" w:rsidRDefault="004201D4" w:rsidP="000F6CCE">
      <w:pPr>
        <w:spacing w:after="200"/>
        <w:rPr>
          <w:rFonts w:cs="Arial"/>
          <w:szCs w:val="22"/>
        </w:rPr>
      </w:pPr>
      <w:r w:rsidRPr="000F6CCE">
        <w:rPr>
          <w:rFonts w:cs="Arial"/>
          <w:szCs w:val="22"/>
        </w:rPr>
        <w:t>Dual enrollment is a key feature of CC</w:t>
      </w:r>
      <w:r w:rsidR="000F6CCE">
        <w:rPr>
          <w:rFonts w:cs="Arial"/>
          <w:szCs w:val="22"/>
        </w:rPr>
        <w:t xml:space="preserve">TA. The cost of dual enrollment, including </w:t>
      </w:r>
      <w:r w:rsidRPr="000F6CCE">
        <w:rPr>
          <w:rFonts w:cs="Arial"/>
          <w:szCs w:val="22"/>
        </w:rPr>
        <w:t xml:space="preserve">related costs </w:t>
      </w:r>
      <w:r w:rsidR="000F6CCE">
        <w:rPr>
          <w:rFonts w:cs="Arial"/>
          <w:szCs w:val="22"/>
        </w:rPr>
        <w:t>(e.g.</w:t>
      </w:r>
      <w:r w:rsidRPr="000F6CCE">
        <w:rPr>
          <w:rFonts w:cs="Arial"/>
          <w:szCs w:val="22"/>
        </w:rPr>
        <w:t xml:space="preserve"> books, transport, lab fees</w:t>
      </w:r>
      <w:r w:rsidR="000F6CCE">
        <w:rPr>
          <w:rFonts w:cs="Arial"/>
          <w:szCs w:val="22"/>
        </w:rPr>
        <w:t xml:space="preserve">), </w:t>
      </w:r>
      <w:r w:rsidRPr="000F6CCE">
        <w:rPr>
          <w:rFonts w:cs="Arial"/>
          <w:szCs w:val="22"/>
        </w:rPr>
        <w:t>depends upon the delivery met</w:t>
      </w:r>
      <w:r w:rsidR="000F6CCE">
        <w:rPr>
          <w:rFonts w:cs="Arial"/>
          <w:szCs w:val="22"/>
        </w:rPr>
        <w:t>hod used by South Texas College.</w:t>
      </w:r>
    </w:p>
    <w:p w:rsidR="004201D4" w:rsidRPr="000F6CCE" w:rsidRDefault="004201D4" w:rsidP="000F6CCE">
      <w:pPr>
        <w:pStyle w:val="ListParagraph"/>
        <w:numPr>
          <w:ilvl w:val="0"/>
          <w:numId w:val="22"/>
        </w:numPr>
        <w:spacing w:after="200"/>
        <w:rPr>
          <w:rFonts w:ascii="Arial" w:hAnsi="Arial" w:cs="Arial"/>
          <w:sz w:val="22"/>
          <w:szCs w:val="22"/>
        </w:rPr>
      </w:pPr>
      <w:r w:rsidRPr="000F6CCE">
        <w:rPr>
          <w:rFonts w:ascii="Arial" w:hAnsi="Arial" w:cs="Arial"/>
          <w:sz w:val="22"/>
          <w:szCs w:val="22"/>
        </w:rPr>
        <w:t>Texas dual enrollment policy permits postsecondary institutions and school districts to claim full-time funding for students participating in dual enrollment courses.</w:t>
      </w:r>
    </w:p>
    <w:p w:rsidR="004201D4" w:rsidRPr="000F6CCE" w:rsidRDefault="004201D4" w:rsidP="000F6CCE">
      <w:pPr>
        <w:pStyle w:val="ListParagraph"/>
        <w:numPr>
          <w:ilvl w:val="0"/>
          <w:numId w:val="22"/>
        </w:numPr>
        <w:spacing w:after="200"/>
        <w:rPr>
          <w:rFonts w:ascii="Arial" w:hAnsi="Arial" w:cs="Arial"/>
          <w:sz w:val="22"/>
          <w:szCs w:val="22"/>
        </w:rPr>
      </w:pPr>
      <w:r w:rsidRPr="000F6CCE">
        <w:rPr>
          <w:rFonts w:ascii="Arial" w:hAnsi="Arial" w:cs="Arial"/>
          <w:sz w:val="22"/>
          <w:szCs w:val="22"/>
        </w:rPr>
        <w:t xml:space="preserve">STC charges CCTA a course fee, ranging </w:t>
      </w:r>
      <w:r w:rsidR="000F6CCE">
        <w:rPr>
          <w:rFonts w:ascii="Arial" w:hAnsi="Arial" w:cs="Arial"/>
          <w:sz w:val="22"/>
          <w:szCs w:val="22"/>
        </w:rPr>
        <w:t xml:space="preserve">from </w:t>
      </w:r>
      <w:r w:rsidRPr="000F6CCE">
        <w:rPr>
          <w:rFonts w:ascii="Arial" w:hAnsi="Arial" w:cs="Arial"/>
          <w:sz w:val="22"/>
          <w:szCs w:val="22"/>
        </w:rPr>
        <w:t xml:space="preserve">$3,000 </w:t>
      </w:r>
      <w:r w:rsidR="000F6CCE">
        <w:rPr>
          <w:rFonts w:ascii="Arial" w:hAnsi="Arial" w:cs="Arial"/>
          <w:sz w:val="22"/>
          <w:szCs w:val="22"/>
        </w:rPr>
        <w:t>to $</w:t>
      </w:r>
      <w:r w:rsidRPr="000F6CCE">
        <w:rPr>
          <w:rFonts w:ascii="Arial" w:hAnsi="Arial" w:cs="Arial"/>
          <w:sz w:val="22"/>
          <w:szCs w:val="22"/>
        </w:rPr>
        <w:t>4,000 per class, rather than an individual student fee, adjusting the fee based on the credits.</w:t>
      </w:r>
    </w:p>
    <w:p w:rsidR="004201D4" w:rsidRPr="000F6CCE" w:rsidRDefault="004201D4" w:rsidP="000F6CCE">
      <w:pPr>
        <w:pStyle w:val="ListParagraph"/>
        <w:numPr>
          <w:ilvl w:val="0"/>
          <w:numId w:val="22"/>
        </w:numPr>
        <w:spacing w:after="200"/>
        <w:rPr>
          <w:rFonts w:ascii="Arial" w:hAnsi="Arial" w:cs="Arial"/>
          <w:sz w:val="22"/>
          <w:szCs w:val="22"/>
        </w:rPr>
      </w:pPr>
      <w:r w:rsidRPr="000F6CCE">
        <w:rPr>
          <w:rFonts w:ascii="Arial" w:hAnsi="Arial" w:cs="Arial"/>
          <w:sz w:val="22"/>
          <w:szCs w:val="22"/>
        </w:rPr>
        <w:t>For courses taught by CCTA adjunct faculty, there is no fee. </w:t>
      </w:r>
    </w:p>
    <w:p w:rsidR="004201D4" w:rsidRPr="000F6CCE" w:rsidRDefault="004201D4" w:rsidP="000F6CCE">
      <w:pPr>
        <w:pStyle w:val="ListParagraph"/>
        <w:numPr>
          <w:ilvl w:val="0"/>
          <w:numId w:val="22"/>
        </w:numPr>
        <w:spacing w:after="200"/>
        <w:rPr>
          <w:rFonts w:ascii="Arial" w:hAnsi="Arial" w:cs="Arial"/>
          <w:sz w:val="22"/>
          <w:szCs w:val="22"/>
        </w:rPr>
      </w:pPr>
      <w:r w:rsidRPr="000F6CCE">
        <w:rPr>
          <w:rFonts w:ascii="Arial" w:hAnsi="Arial" w:cs="Arial"/>
          <w:sz w:val="22"/>
          <w:szCs w:val="22"/>
        </w:rPr>
        <w:t>For courses not taught by CCTA adjunct faculty, CCTA students are mixed only with other students from similar programs. In this case, CCTA splits the course fee with the other Back on Track programs, based on how many students are attending from CCTA.</w:t>
      </w:r>
    </w:p>
    <w:p w:rsidR="004201D4" w:rsidRPr="000F6CCE" w:rsidRDefault="004201D4" w:rsidP="000F6CCE">
      <w:pPr>
        <w:pStyle w:val="ListParagraph"/>
        <w:numPr>
          <w:ilvl w:val="0"/>
          <w:numId w:val="22"/>
        </w:numPr>
        <w:spacing w:after="200"/>
        <w:rPr>
          <w:rFonts w:ascii="Arial" w:hAnsi="Arial" w:cs="Arial"/>
          <w:sz w:val="22"/>
          <w:szCs w:val="22"/>
        </w:rPr>
      </w:pPr>
      <w:r w:rsidRPr="000F6CCE">
        <w:rPr>
          <w:rFonts w:ascii="Arial" w:hAnsi="Arial" w:cs="Arial"/>
          <w:sz w:val="22"/>
          <w:szCs w:val="22"/>
        </w:rPr>
        <w:t xml:space="preserve">To provide </w:t>
      </w:r>
      <w:bookmarkStart w:id="0" w:name="_GoBack"/>
      <w:r w:rsidRPr="00830091">
        <w:rPr>
          <w:rFonts w:ascii="Arial" w:hAnsi="Arial" w:cs="Arial"/>
          <w:bCs/>
          <w:sz w:val="22"/>
          <w:szCs w:val="22"/>
        </w:rPr>
        <w:t>mini-</w:t>
      </w:r>
      <w:proofErr w:type="spellStart"/>
      <w:r w:rsidRPr="00830091">
        <w:rPr>
          <w:rFonts w:ascii="Arial" w:hAnsi="Arial" w:cs="Arial"/>
          <w:bCs/>
          <w:sz w:val="22"/>
          <w:szCs w:val="22"/>
        </w:rPr>
        <w:t>mesters</w:t>
      </w:r>
      <w:proofErr w:type="spellEnd"/>
      <w:r w:rsidRPr="000F6CCE">
        <w:rPr>
          <w:rFonts w:ascii="Arial" w:hAnsi="Arial" w:cs="Arial"/>
          <w:sz w:val="22"/>
          <w:szCs w:val="22"/>
        </w:rPr>
        <w:t xml:space="preserve"> </w:t>
      </w:r>
      <w:bookmarkEnd w:id="0"/>
      <w:r w:rsidRPr="000F6CCE">
        <w:rPr>
          <w:rFonts w:ascii="Arial" w:hAnsi="Arial" w:cs="Arial"/>
          <w:sz w:val="22"/>
          <w:szCs w:val="22"/>
        </w:rPr>
        <w:t xml:space="preserve">regardless of fluctuations in funding, CCTA makes it a priority to hire staff with Master’s degrees so they can qualify as STC adjunct professors. In this model, STC pays the </w:t>
      </w:r>
      <w:proofErr w:type="spellStart"/>
      <w:r w:rsidR="000F6CCE">
        <w:rPr>
          <w:rFonts w:ascii="Arial" w:hAnsi="Arial" w:cs="Arial"/>
          <w:sz w:val="22"/>
          <w:szCs w:val="22"/>
        </w:rPr>
        <w:t>CCTA</w:t>
      </w:r>
      <w:proofErr w:type="spellEnd"/>
      <w:r w:rsidR="000F6CCE">
        <w:rPr>
          <w:rFonts w:ascii="Arial" w:hAnsi="Arial" w:cs="Arial"/>
          <w:sz w:val="22"/>
          <w:szCs w:val="22"/>
        </w:rPr>
        <w:t xml:space="preserve"> </w:t>
      </w:r>
      <w:r w:rsidRPr="000F6CCE">
        <w:rPr>
          <w:rFonts w:ascii="Arial" w:hAnsi="Arial" w:cs="Arial"/>
          <w:sz w:val="22"/>
          <w:szCs w:val="22"/>
        </w:rPr>
        <w:t>teacher a small stipend to provide an STC class</w:t>
      </w:r>
      <w:proofErr w:type="gramStart"/>
      <w:r w:rsidR="000F6CCE">
        <w:rPr>
          <w:rFonts w:ascii="Arial" w:hAnsi="Arial" w:cs="Arial"/>
          <w:sz w:val="22"/>
          <w:szCs w:val="22"/>
        </w:rPr>
        <w:t>.</w:t>
      </w:r>
      <w:r w:rsidRPr="000F6CCE">
        <w:rPr>
          <w:rFonts w:ascii="Arial" w:hAnsi="Arial" w:cs="Arial"/>
          <w:b/>
          <w:bCs/>
          <w:sz w:val="22"/>
          <w:szCs w:val="22"/>
        </w:rPr>
        <w:t>[</w:t>
      </w:r>
      <w:proofErr w:type="gramEnd"/>
      <w:r w:rsidRPr="000F6CCE">
        <w:rPr>
          <w:rFonts w:ascii="Arial" w:hAnsi="Arial" w:cs="Arial"/>
          <w:b/>
          <w:bCs/>
          <w:sz w:val="22"/>
          <w:szCs w:val="22"/>
        </w:rPr>
        <w:t>1]</w:t>
      </w:r>
    </w:p>
    <w:p w:rsidR="004201D4" w:rsidRPr="000F6CCE" w:rsidRDefault="004201D4" w:rsidP="000F6CCE">
      <w:pPr>
        <w:pStyle w:val="ListParagraph"/>
        <w:spacing w:after="200"/>
        <w:rPr>
          <w:rFonts w:ascii="Arial" w:hAnsi="Arial" w:cs="Arial"/>
          <w:sz w:val="22"/>
          <w:szCs w:val="22"/>
        </w:rPr>
      </w:pPr>
    </w:p>
    <w:p w:rsidR="004201D4" w:rsidRPr="000F6CCE" w:rsidRDefault="004201D4" w:rsidP="000F6CCE">
      <w:pPr>
        <w:spacing w:after="200"/>
        <w:rPr>
          <w:rFonts w:cs="Arial"/>
          <w:szCs w:val="22"/>
        </w:rPr>
      </w:pPr>
      <w:r w:rsidRPr="000F6CCE">
        <w:rPr>
          <w:rFonts w:cs="Arial"/>
          <w:szCs w:val="22"/>
        </w:rPr>
        <w:t>The district draws from a variety of sources to cover dual enrollment costs: </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b/>
          <w:bCs/>
          <w:sz w:val="22"/>
          <w:szCs w:val="22"/>
        </w:rPr>
        <w:t>Career &amp; Technology</w:t>
      </w:r>
      <w:r w:rsidR="000F6CCE">
        <w:rPr>
          <w:rFonts w:ascii="Arial" w:hAnsi="Arial" w:cs="Arial"/>
          <w:b/>
          <w:bCs/>
          <w:sz w:val="22"/>
          <w:szCs w:val="22"/>
        </w:rPr>
        <w:t xml:space="preserve"> Education </w:t>
      </w:r>
      <w:r w:rsidRPr="000F6CCE">
        <w:rPr>
          <w:rFonts w:ascii="Arial" w:hAnsi="Arial" w:cs="Arial"/>
          <w:sz w:val="22"/>
          <w:szCs w:val="22"/>
        </w:rPr>
        <w:t xml:space="preserve">(164): CCTA draws resources from a CATE funding stream designed to prepare young people to manage the dual roles of </w:t>
      </w:r>
      <w:r w:rsidR="000F6CCE">
        <w:rPr>
          <w:rFonts w:ascii="Arial" w:hAnsi="Arial" w:cs="Arial"/>
          <w:sz w:val="22"/>
          <w:szCs w:val="22"/>
        </w:rPr>
        <w:t>family member and wage earner. </w:t>
      </w:r>
      <w:r w:rsidRPr="000F6CCE">
        <w:rPr>
          <w:rFonts w:ascii="Arial" w:hAnsi="Arial" w:cs="Arial"/>
          <w:sz w:val="22"/>
          <w:szCs w:val="22"/>
        </w:rPr>
        <w:t>It covers the course fee for students attending the dual enrollment classes. Funds instructional costs only.</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b/>
          <w:bCs/>
          <w:sz w:val="22"/>
          <w:szCs w:val="22"/>
        </w:rPr>
        <w:t xml:space="preserve">ESEA Title 1 Regular and Migrant funds, </w:t>
      </w:r>
      <w:r w:rsidRPr="000F6CCE">
        <w:rPr>
          <w:rFonts w:ascii="Arial" w:hAnsi="Arial" w:cs="Arial"/>
          <w:sz w:val="22"/>
          <w:szCs w:val="22"/>
        </w:rPr>
        <w:t xml:space="preserve">as well as </w:t>
      </w:r>
      <w:r w:rsidRPr="000F6CCE">
        <w:rPr>
          <w:rFonts w:ascii="Arial" w:hAnsi="Arial" w:cs="Arial"/>
          <w:b/>
          <w:bCs/>
          <w:sz w:val="22"/>
          <w:szCs w:val="22"/>
        </w:rPr>
        <w:t xml:space="preserve">Medicaid, </w:t>
      </w:r>
      <w:r w:rsidRPr="000F6CCE">
        <w:rPr>
          <w:rFonts w:ascii="Arial" w:hAnsi="Arial" w:cs="Arial"/>
          <w:sz w:val="22"/>
          <w:szCs w:val="22"/>
        </w:rPr>
        <w:t>are sometimes available based on the services CCTA offers.</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b/>
          <w:bCs/>
          <w:sz w:val="22"/>
          <w:szCs w:val="22"/>
        </w:rPr>
        <w:t xml:space="preserve">High School Allotment </w:t>
      </w:r>
      <w:r w:rsidRPr="000F6CCE">
        <w:rPr>
          <w:rFonts w:ascii="Arial" w:hAnsi="Arial" w:cs="Arial"/>
          <w:sz w:val="22"/>
          <w:szCs w:val="22"/>
        </w:rPr>
        <w:t>covers the cost of books.</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b/>
          <w:bCs/>
          <w:sz w:val="22"/>
          <w:szCs w:val="22"/>
        </w:rPr>
        <w:t>Intensive Summer Program (ISP) funds</w:t>
      </w:r>
      <w:r w:rsidRPr="000F6CCE">
        <w:rPr>
          <w:rFonts w:ascii="Arial" w:hAnsi="Arial" w:cs="Arial"/>
          <w:sz w:val="22"/>
          <w:szCs w:val="22"/>
        </w:rPr>
        <w:t xml:space="preserve">, a Texas state grant, </w:t>
      </w:r>
      <w:proofErr w:type="gramStart"/>
      <w:r w:rsidRPr="000F6CCE">
        <w:rPr>
          <w:rFonts w:ascii="Arial" w:hAnsi="Arial" w:cs="Arial"/>
          <w:sz w:val="22"/>
          <w:szCs w:val="22"/>
        </w:rPr>
        <w:t>covers</w:t>
      </w:r>
      <w:proofErr w:type="gramEnd"/>
      <w:r w:rsidRPr="000F6CCE">
        <w:rPr>
          <w:rFonts w:ascii="Arial" w:hAnsi="Arial" w:cs="Arial"/>
          <w:sz w:val="22"/>
          <w:szCs w:val="22"/>
        </w:rPr>
        <w:t xml:space="preserve"> the cost of mini-</w:t>
      </w:r>
      <w:proofErr w:type="spellStart"/>
      <w:r w:rsidRPr="000F6CCE">
        <w:rPr>
          <w:rFonts w:ascii="Arial" w:hAnsi="Arial" w:cs="Arial"/>
          <w:sz w:val="22"/>
          <w:szCs w:val="22"/>
        </w:rPr>
        <w:t>mesters</w:t>
      </w:r>
      <w:proofErr w:type="spellEnd"/>
      <w:r w:rsidRPr="000F6CCE">
        <w:rPr>
          <w:rFonts w:ascii="Arial" w:hAnsi="Arial" w:cs="Arial"/>
          <w:sz w:val="22"/>
          <w:szCs w:val="22"/>
        </w:rPr>
        <w:t xml:space="preserve"> offered during the summer.</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b/>
          <w:bCs/>
          <w:sz w:val="22"/>
          <w:szCs w:val="22"/>
        </w:rPr>
        <w:t>Private grants</w:t>
      </w:r>
      <w:r w:rsidRPr="000F6CCE">
        <w:rPr>
          <w:rFonts w:ascii="Arial" w:hAnsi="Arial" w:cs="Arial"/>
          <w:sz w:val="22"/>
          <w:szCs w:val="22"/>
        </w:rPr>
        <w:t>, cobbled together from a range of sources, cover additional costs.</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b/>
          <w:bCs/>
          <w:sz w:val="22"/>
          <w:szCs w:val="22"/>
        </w:rPr>
        <w:t xml:space="preserve">State Compensatory </w:t>
      </w:r>
      <w:r w:rsidRPr="000F6CCE">
        <w:rPr>
          <w:rFonts w:ascii="Arial" w:hAnsi="Arial" w:cs="Arial"/>
          <w:sz w:val="22"/>
          <w:szCs w:val="22"/>
        </w:rPr>
        <w:t>funds generate some revenue that is put towards dual enrollment for students who meet the criteria of being at risk.</w:t>
      </w:r>
    </w:p>
    <w:p w:rsidR="004201D4" w:rsidRPr="000F6CCE" w:rsidRDefault="004201D4" w:rsidP="000F6CCE">
      <w:pPr>
        <w:pStyle w:val="ListParagraph"/>
        <w:numPr>
          <w:ilvl w:val="0"/>
          <w:numId w:val="23"/>
        </w:numPr>
        <w:spacing w:after="200"/>
        <w:rPr>
          <w:rFonts w:ascii="Arial" w:hAnsi="Arial" w:cs="Arial"/>
          <w:sz w:val="22"/>
          <w:szCs w:val="22"/>
        </w:rPr>
      </w:pPr>
      <w:r w:rsidRPr="000F6CCE">
        <w:rPr>
          <w:rFonts w:ascii="Arial" w:hAnsi="Arial" w:cs="Arial"/>
          <w:sz w:val="22"/>
          <w:szCs w:val="22"/>
        </w:rPr>
        <w:t xml:space="preserve">The </w:t>
      </w:r>
      <w:r w:rsidRPr="000F6CCE">
        <w:rPr>
          <w:rFonts w:ascii="Arial" w:hAnsi="Arial" w:cs="Arial"/>
          <w:b/>
          <w:bCs/>
          <w:sz w:val="22"/>
          <w:szCs w:val="22"/>
        </w:rPr>
        <w:t>Texas Dropout Recovery Pilot Program </w:t>
      </w:r>
      <w:r w:rsidRPr="000F6CCE">
        <w:rPr>
          <w:rFonts w:ascii="Arial" w:hAnsi="Arial" w:cs="Arial"/>
          <w:sz w:val="22"/>
          <w:szCs w:val="22"/>
        </w:rPr>
        <w:t>featured performance funding for recovery programs that enable recovered dropouts to meet college-readiness standards and take credit-bearing college courses. The program gave performance-benchmark funding to CCTA based on students’ academic progress, graduation, and completion of college courses. </w:t>
      </w:r>
    </w:p>
    <w:p w:rsidR="004201D4" w:rsidRPr="000F6CCE" w:rsidRDefault="004201D4" w:rsidP="000F6CCE">
      <w:pPr>
        <w:spacing w:after="200"/>
        <w:rPr>
          <w:rFonts w:cs="Arial"/>
          <w:szCs w:val="22"/>
        </w:rPr>
      </w:pPr>
    </w:p>
    <w:p w:rsidR="00F11C11" w:rsidRPr="000F6CCE" w:rsidRDefault="004201D4" w:rsidP="000F6CCE">
      <w:pPr>
        <w:spacing w:after="200"/>
        <w:rPr>
          <w:rFonts w:cs="Arial"/>
          <w:sz w:val="20"/>
          <w:szCs w:val="22"/>
        </w:rPr>
      </w:pPr>
      <w:r w:rsidRPr="000F6CCE">
        <w:rPr>
          <w:rFonts w:cs="Arial"/>
          <w:b/>
          <w:bCs/>
          <w:sz w:val="20"/>
          <w:szCs w:val="22"/>
        </w:rPr>
        <w:t>[1]</w:t>
      </w:r>
      <w:r w:rsidRPr="000F6CCE">
        <w:rPr>
          <w:rFonts w:cs="Arial"/>
          <w:sz w:val="20"/>
          <w:szCs w:val="22"/>
        </w:rPr>
        <w:t xml:space="preserve"> To become an STC adjunct, a teacher must be interviewed by STC, have his or her transcript evaluated, and use the STC curriculum.</w:t>
      </w:r>
    </w:p>
    <w:sectPr w:rsidR="00F11C11" w:rsidRPr="000F6CCE" w:rsidSect="007942E2">
      <w:headerReference w:type="default" r:id="rId8"/>
      <w:footerReference w:type="default" r:id="rId9"/>
      <w:pgSz w:w="12240" w:h="15840"/>
      <w:pgMar w:top="2160" w:right="1440" w:bottom="1440" w:left="1440" w:header="630" w:footer="6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33" w:rsidRDefault="005B2733" w:rsidP="007942E2">
      <w:r>
        <w:separator/>
      </w:r>
    </w:p>
  </w:endnote>
  <w:endnote w:type="continuationSeparator" w:id="0">
    <w:p w:rsidR="005B2733" w:rsidRDefault="005B2733" w:rsidP="007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33" w:rsidRDefault="005B2733">
    <w:pPr>
      <w:pStyle w:val="Footer"/>
    </w:pPr>
    <w:r>
      <w:rPr>
        <w:noProof/>
        <w:lang w:eastAsia="en-US"/>
      </w:rPr>
      <mc:AlternateContent>
        <mc:Choice Requires="wps">
          <w:drawing>
            <wp:anchor distT="0" distB="0" distL="114300" distR="114300" simplePos="0" relativeHeight="251661312" behindDoc="1" locked="0" layoutInCell="1" allowOverlap="1">
              <wp:simplePos x="0" y="0"/>
              <wp:positionH relativeFrom="column">
                <wp:posOffset>-748030</wp:posOffset>
              </wp:positionH>
              <wp:positionV relativeFrom="paragraph">
                <wp:posOffset>-118110</wp:posOffset>
              </wp:positionV>
              <wp:extent cx="7429500" cy="6858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5B2733" w:rsidRPr="000163F0" w:rsidRDefault="005B2733"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58.85pt;margin-top:-9.25pt;width:58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" fillcolor="#17365d [2415]" stroked="f">
              <v:path arrowok="t"/>
              <v:textbox>
                <w:txbxContent>
                  <w:p w:rsidR="005B2733" w:rsidRPr="000163F0" w:rsidRDefault="005B2733"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33" w:rsidRDefault="005B2733" w:rsidP="007942E2">
      <w:r>
        <w:separator/>
      </w:r>
    </w:p>
  </w:footnote>
  <w:footnote w:type="continuationSeparator" w:id="0">
    <w:p w:rsidR="005B2733" w:rsidRDefault="005B2733" w:rsidP="00794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33" w:rsidRDefault="005B2733" w:rsidP="007942E2">
    <w:pPr>
      <w:pStyle w:val="Header"/>
      <w:jc w:val="right"/>
    </w:pPr>
    <w:r>
      <w:rPr>
        <w:noProof/>
        <w:lang w:eastAsia="en-US"/>
      </w:rPr>
      <mc:AlternateContent>
        <mc:Choice Requires="wps">
          <w:drawing>
            <wp:anchor distT="0" distB="0" distL="114300" distR="114300" simplePos="0" relativeHeight="251659264" behindDoc="1" locked="0" layoutInCell="1" allowOverlap="1">
              <wp:simplePos x="0" y="0"/>
              <wp:positionH relativeFrom="column">
                <wp:posOffset>-748030</wp:posOffset>
              </wp:positionH>
              <wp:positionV relativeFrom="paragraph">
                <wp:posOffset>-225425</wp:posOffset>
              </wp:positionV>
              <wp:extent cx="7429500" cy="914400"/>
              <wp:effectExtent l="0" t="0" r="1270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5B2733" w:rsidRDefault="005B2733" w:rsidP="007942E2">
                          <w:pPr>
                            <w:jc w:val="right"/>
                            <w:rPr>
                              <w:rFonts w:cs="Arial"/>
                              <w:b/>
                              <w:sz w:val="36"/>
                              <w:szCs w:val="36"/>
                            </w:rPr>
                          </w:pPr>
                        </w:p>
                        <w:p w:rsidR="005B2733" w:rsidRPr="000163F0" w:rsidRDefault="005B2733"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8.85pt;margin-top:-17.7pt;width:5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" fillcolor="#17365d [2415]" stroked="f">
              <v:path arrowok="t"/>
              <v:textbox>
                <w:txbxContent>
                  <w:p w:rsidR="005B2733" w:rsidRDefault="005B2733" w:rsidP="007942E2">
                    <w:pPr>
                      <w:jc w:val="right"/>
                      <w:rPr>
                        <w:rFonts w:cs="Arial"/>
                        <w:b/>
                        <w:sz w:val="36"/>
                        <w:szCs w:val="36"/>
                      </w:rPr>
                    </w:pPr>
                  </w:p>
                  <w:p w:rsidR="005B2733" w:rsidRPr="000163F0" w:rsidRDefault="005B2733"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v:textbox>
            </v:rect>
          </w:pict>
        </mc:Fallback>
      </mc:AlternateContent>
    </w:r>
  </w:p>
  <w:p w:rsidR="005B2733" w:rsidRDefault="005B2733" w:rsidP="007942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459F"/>
    <w:multiLevelType w:val="hybridMultilevel"/>
    <w:tmpl w:val="3FD68A4A"/>
    <w:lvl w:ilvl="0" w:tplc="ED1A9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26059"/>
    <w:multiLevelType w:val="hybridMultilevel"/>
    <w:tmpl w:val="8C6EBB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BA6FD1"/>
    <w:multiLevelType w:val="hybridMultilevel"/>
    <w:tmpl w:val="0C6E1A2E"/>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92711"/>
    <w:multiLevelType w:val="hybridMultilevel"/>
    <w:tmpl w:val="047C52E8"/>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709C"/>
    <w:multiLevelType w:val="hybridMultilevel"/>
    <w:tmpl w:val="AF84D23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Wingdings"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Wingdings"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Wingdings" w:hint="default"/>
      </w:rPr>
    </w:lvl>
    <w:lvl w:ilvl="8" w:tplc="04090005" w:tentative="1">
      <w:start w:val="1"/>
      <w:numFmt w:val="bullet"/>
      <w:lvlText w:val=""/>
      <w:lvlJc w:val="left"/>
      <w:pPr>
        <w:ind w:left="8646" w:hanging="360"/>
      </w:pPr>
      <w:rPr>
        <w:rFonts w:ascii="Wingdings" w:hAnsi="Wingdings" w:hint="default"/>
      </w:rPr>
    </w:lvl>
  </w:abstractNum>
  <w:abstractNum w:abstractNumId="7">
    <w:nsid w:val="1AF61218"/>
    <w:multiLevelType w:val="hybridMultilevel"/>
    <w:tmpl w:val="B6B4A520"/>
    <w:lvl w:ilvl="0" w:tplc="04090001">
      <w:start w:val="1"/>
      <w:numFmt w:val="bullet"/>
      <w:lvlText w:val=""/>
      <w:lvlJc w:val="left"/>
      <w:pPr>
        <w:ind w:left="1080" w:hanging="360"/>
      </w:pPr>
      <w:rPr>
        <w:rFonts w:ascii="Symbol" w:hAnsi="Symbol" w:hint="default"/>
        <w:color w:val="17365D"/>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A2402"/>
    <w:multiLevelType w:val="hybridMultilevel"/>
    <w:tmpl w:val="33AA71BA"/>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90A8B"/>
    <w:multiLevelType w:val="hybridMultilevel"/>
    <w:tmpl w:val="98A8DBFA"/>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62F2E"/>
    <w:multiLevelType w:val="hybridMultilevel"/>
    <w:tmpl w:val="52748EA2"/>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85BF1"/>
    <w:multiLevelType w:val="hybridMultilevel"/>
    <w:tmpl w:val="D0861E92"/>
    <w:lvl w:ilvl="0" w:tplc="72D4A84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6172F"/>
    <w:multiLevelType w:val="hybridMultilevel"/>
    <w:tmpl w:val="1FD21E76"/>
    <w:lvl w:ilvl="0" w:tplc="04090001">
      <w:start w:val="1"/>
      <w:numFmt w:val="bullet"/>
      <w:lvlText w:val=""/>
      <w:lvlJc w:val="left"/>
      <w:pPr>
        <w:ind w:left="1080" w:hanging="360"/>
      </w:pPr>
      <w:rPr>
        <w:rFonts w:ascii="Symbol" w:hAnsi="Symbol" w:hint="default"/>
        <w:color w:val="17365D"/>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195CA5"/>
    <w:multiLevelType w:val="hybridMultilevel"/>
    <w:tmpl w:val="7D34B048"/>
    <w:lvl w:ilvl="0" w:tplc="93AA663C">
      <w:start w:val="3"/>
      <w:numFmt w:val="bullet"/>
      <w:lvlText w:val=""/>
      <w:lvlJc w:val="left"/>
      <w:pPr>
        <w:ind w:left="780" w:hanging="360"/>
      </w:pPr>
      <w:rPr>
        <w:rFonts w:ascii="Symbol" w:hAnsi="Symbol" w:hint="default"/>
        <w:color w:val="17365D"/>
        <w:sz w:val="22"/>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7B667EF"/>
    <w:multiLevelType w:val="multilevel"/>
    <w:tmpl w:val="D0861E92"/>
    <w:lvl w:ilvl="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8E65B48"/>
    <w:multiLevelType w:val="hybridMultilevel"/>
    <w:tmpl w:val="2E8AB3E4"/>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21ED"/>
    <w:multiLevelType w:val="hybridMultilevel"/>
    <w:tmpl w:val="698ECE24"/>
    <w:lvl w:ilvl="0" w:tplc="ED1A9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3864CA"/>
    <w:multiLevelType w:val="hybridMultilevel"/>
    <w:tmpl w:val="F0768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17C2B"/>
    <w:multiLevelType w:val="multilevel"/>
    <w:tmpl w:val="98A8DBFA"/>
    <w:lvl w:ilvl="0">
      <w:start w:val="1"/>
      <w:numFmt w:val="bullet"/>
      <w:lvlText w:val=""/>
      <w:lvlJc w:val="left"/>
      <w:pPr>
        <w:ind w:left="720" w:hanging="360"/>
      </w:pPr>
      <w:rPr>
        <w:rFonts w:ascii="Symbol" w:hAnsi="Symbol" w:hint="default"/>
        <w:color w:val="17365D"/>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AEC362D"/>
    <w:multiLevelType w:val="hybridMultilevel"/>
    <w:tmpl w:val="519412B4"/>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92DBE"/>
    <w:multiLevelType w:val="hybridMultilevel"/>
    <w:tmpl w:val="46908BE6"/>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E40E0"/>
    <w:multiLevelType w:val="hybridMultilevel"/>
    <w:tmpl w:val="F1281D1E"/>
    <w:lvl w:ilvl="0" w:tplc="04090001">
      <w:start w:val="1"/>
      <w:numFmt w:val="bullet"/>
      <w:lvlText w:val=""/>
      <w:lvlJc w:val="left"/>
      <w:pPr>
        <w:ind w:left="780" w:hanging="360"/>
      </w:pPr>
      <w:rPr>
        <w:rFonts w:ascii="Symbol" w:hAnsi="Symbol" w:hint="default"/>
        <w:color w:val="17365D"/>
        <w:sz w:val="22"/>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B0664B2"/>
    <w:multiLevelType w:val="hybridMultilevel"/>
    <w:tmpl w:val="7650492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13"/>
  </w:num>
  <w:num w:numId="3">
    <w:abstractNumId w:val="11"/>
  </w:num>
  <w:num w:numId="4">
    <w:abstractNumId w:val="3"/>
  </w:num>
  <w:num w:numId="5">
    <w:abstractNumId w:val="6"/>
  </w:num>
  <w:num w:numId="6">
    <w:abstractNumId w:val="22"/>
  </w:num>
  <w:num w:numId="7">
    <w:abstractNumId w:val="20"/>
  </w:num>
  <w:num w:numId="8">
    <w:abstractNumId w:val="8"/>
  </w:num>
  <w:num w:numId="9">
    <w:abstractNumId w:val="9"/>
  </w:num>
  <w:num w:numId="10">
    <w:abstractNumId w:val="12"/>
  </w:num>
  <w:num w:numId="11">
    <w:abstractNumId w:val="5"/>
  </w:num>
  <w:num w:numId="12">
    <w:abstractNumId w:val="4"/>
  </w:num>
  <w:num w:numId="13">
    <w:abstractNumId w:val="18"/>
  </w:num>
  <w:num w:numId="14">
    <w:abstractNumId w:val="17"/>
  </w:num>
  <w:num w:numId="15">
    <w:abstractNumId w:val="7"/>
  </w:num>
  <w:num w:numId="16">
    <w:abstractNumId w:val="10"/>
  </w:num>
  <w:num w:numId="17">
    <w:abstractNumId w:val="15"/>
  </w:num>
  <w:num w:numId="18">
    <w:abstractNumId w:val="19"/>
  </w:num>
  <w:num w:numId="19">
    <w:abstractNumId w:val="14"/>
  </w:num>
  <w:num w:numId="20">
    <w:abstractNumId w:val="0"/>
  </w:num>
  <w:num w:numId="21">
    <w:abstractNumId w:val="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E2"/>
    <w:rsid w:val="000163F0"/>
    <w:rsid w:val="0006364E"/>
    <w:rsid w:val="000857BD"/>
    <w:rsid w:val="000F6CCE"/>
    <w:rsid w:val="00107E30"/>
    <w:rsid w:val="001439FF"/>
    <w:rsid w:val="00240DF7"/>
    <w:rsid w:val="002F0AEC"/>
    <w:rsid w:val="0036137C"/>
    <w:rsid w:val="003C3E03"/>
    <w:rsid w:val="003F7301"/>
    <w:rsid w:val="004201D4"/>
    <w:rsid w:val="00487929"/>
    <w:rsid w:val="005B2733"/>
    <w:rsid w:val="00690385"/>
    <w:rsid w:val="006E04E3"/>
    <w:rsid w:val="007942E2"/>
    <w:rsid w:val="007959E2"/>
    <w:rsid w:val="007C2D82"/>
    <w:rsid w:val="007D7451"/>
    <w:rsid w:val="007E7B8F"/>
    <w:rsid w:val="00801A93"/>
    <w:rsid w:val="00830091"/>
    <w:rsid w:val="008D7860"/>
    <w:rsid w:val="00957F67"/>
    <w:rsid w:val="00993F33"/>
    <w:rsid w:val="00AA1FE0"/>
    <w:rsid w:val="00C80599"/>
    <w:rsid w:val="00DF1448"/>
    <w:rsid w:val="00DF1812"/>
    <w:rsid w:val="00E761A1"/>
    <w:rsid w:val="00EA1EFC"/>
    <w:rsid w:val="00F11C11"/>
    <w:rsid w:val="00F24E71"/>
    <w:rsid w:val="00F743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93"/>
    <w:rPr>
      <w:rFonts w:ascii="Arial" w:hAnsi="Arial"/>
      <w:sz w:val="22"/>
      <w:szCs w:val="24"/>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uiPriority w:val="99"/>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uiPriority w:val="99"/>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 w:type="paragraph" w:styleId="ListParagraph">
    <w:name w:val="List Paragraph"/>
    <w:basedOn w:val="Normal"/>
    <w:uiPriority w:val="34"/>
    <w:qFormat/>
    <w:rsid w:val="006E04E3"/>
    <w:pPr>
      <w:ind w:left="720"/>
      <w:contextualSpacing/>
    </w:pPr>
    <w:rPr>
      <w:rFonts w:ascii="Cambria" w:eastAsia="Cambria" w:hAnsi="Cambria" w:cs="Times New Roman"/>
      <w:sz w:val="24"/>
      <w:lang w:eastAsia="en-US"/>
    </w:rPr>
  </w:style>
  <w:style w:type="character" w:styleId="PageNumber">
    <w:name w:val="page number"/>
    <w:basedOn w:val="DefaultParagraphFont"/>
    <w:uiPriority w:val="99"/>
    <w:semiHidden/>
    <w:unhideWhenUsed/>
    <w:rsid w:val="006E04E3"/>
  </w:style>
  <w:style w:type="character" w:styleId="CommentReference">
    <w:name w:val="annotation reference"/>
    <w:uiPriority w:val="99"/>
    <w:semiHidden/>
    <w:unhideWhenUsed/>
    <w:rsid w:val="006E04E3"/>
    <w:rPr>
      <w:sz w:val="18"/>
      <w:szCs w:val="18"/>
    </w:rPr>
  </w:style>
  <w:style w:type="paragraph" w:styleId="CommentText">
    <w:name w:val="annotation text"/>
    <w:basedOn w:val="Normal"/>
    <w:link w:val="CommentTextChar"/>
    <w:uiPriority w:val="99"/>
    <w:semiHidden/>
    <w:unhideWhenUsed/>
    <w:rsid w:val="006E04E3"/>
    <w:rPr>
      <w:rFonts w:ascii="Cambria" w:eastAsia="Cambria" w:hAnsi="Cambria" w:cs="Times New Roman"/>
      <w:sz w:val="24"/>
      <w:lang w:eastAsia="en-US"/>
    </w:rPr>
  </w:style>
  <w:style w:type="character" w:customStyle="1" w:styleId="CommentTextChar">
    <w:name w:val="Comment Text Char"/>
    <w:basedOn w:val="DefaultParagraphFont"/>
    <w:link w:val="CommentText"/>
    <w:uiPriority w:val="99"/>
    <w:semiHidden/>
    <w:rsid w:val="006E04E3"/>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E04E3"/>
    <w:rPr>
      <w:b/>
      <w:bCs/>
      <w:sz w:val="20"/>
      <w:szCs w:val="20"/>
    </w:rPr>
  </w:style>
  <w:style w:type="character" w:customStyle="1" w:styleId="CommentSubjectChar">
    <w:name w:val="Comment Subject Char"/>
    <w:basedOn w:val="CommentTextChar"/>
    <w:link w:val="CommentSubject"/>
    <w:uiPriority w:val="99"/>
    <w:semiHidden/>
    <w:rsid w:val="006E04E3"/>
    <w:rPr>
      <w:rFonts w:ascii="Cambria" w:eastAsia="Cambria" w:hAnsi="Cambria" w:cs="Times New Roman"/>
      <w:b/>
      <w:bCs/>
      <w:sz w:val="24"/>
      <w:szCs w:val="24"/>
      <w:lang w:eastAsia="en-US"/>
    </w:rPr>
  </w:style>
  <w:style w:type="table" w:styleId="TableGrid">
    <w:name w:val="Table Grid"/>
    <w:basedOn w:val="TableNormal"/>
    <w:uiPriority w:val="59"/>
    <w:rsid w:val="006E04E3"/>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04E3"/>
    <w:rPr>
      <w:rFonts w:ascii="Cambria" w:eastAsia="Cambria" w:hAnsi="Cambria" w:cs="Times New Roman"/>
      <w:sz w:val="24"/>
      <w:szCs w:val="24"/>
      <w:lang w:eastAsia="en-US"/>
    </w:rPr>
  </w:style>
  <w:style w:type="character" w:styleId="Hyperlink">
    <w:name w:val="Hyperlink"/>
    <w:basedOn w:val="DefaultParagraphFont"/>
    <w:uiPriority w:val="99"/>
    <w:unhideWhenUsed/>
    <w:rsid w:val="007C2D82"/>
    <w:rPr>
      <w:color w:val="0000FF" w:themeColor="hyperlink"/>
      <w:u w:val="single"/>
    </w:rPr>
  </w:style>
  <w:style w:type="character" w:styleId="FollowedHyperlink">
    <w:name w:val="FollowedHyperlink"/>
    <w:basedOn w:val="DefaultParagraphFont"/>
    <w:uiPriority w:val="99"/>
    <w:semiHidden/>
    <w:unhideWhenUsed/>
    <w:rsid w:val="007E7B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93"/>
    <w:rPr>
      <w:rFonts w:ascii="Arial" w:hAnsi="Arial"/>
      <w:sz w:val="22"/>
      <w:szCs w:val="24"/>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uiPriority w:val="99"/>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uiPriority w:val="99"/>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 w:type="paragraph" w:styleId="ListParagraph">
    <w:name w:val="List Paragraph"/>
    <w:basedOn w:val="Normal"/>
    <w:uiPriority w:val="34"/>
    <w:qFormat/>
    <w:rsid w:val="006E04E3"/>
    <w:pPr>
      <w:ind w:left="720"/>
      <w:contextualSpacing/>
    </w:pPr>
    <w:rPr>
      <w:rFonts w:ascii="Cambria" w:eastAsia="Cambria" w:hAnsi="Cambria" w:cs="Times New Roman"/>
      <w:sz w:val="24"/>
      <w:lang w:eastAsia="en-US"/>
    </w:rPr>
  </w:style>
  <w:style w:type="character" w:styleId="PageNumber">
    <w:name w:val="page number"/>
    <w:basedOn w:val="DefaultParagraphFont"/>
    <w:uiPriority w:val="99"/>
    <w:semiHidden/>
    <w:unhideWhenUsed/>
    <w:rsid w:val="006E04E3"/>
  </w:style>
  <w:style w:type="character" w:styleId="CommentReference">
    <w:name w:val="annotation reference"/>
    <w:uiPriority w:val="99"/>
    <w:semiHidden/>
    <w:unhideWhenUsed/>
    <w:rsid w:val="006E04E3"/>
    <w:rPr>
      <w:sz w:val="18"/>
      <w:szCs w:val="18"/>
    </w:rPr>
  </w:style>
  <w:style w:type="paragraph" w:styleId="CommentText">
    <w:name w:val="annotation text"/>
    <w:basedOn w:val="Normal"/>
    <w:link w:val="CommentTextChar"/>
    <w:uiPriority w:val="99"/>
    <w:semiHidden/>
    <w:unhideWhenUsed/>
    <w:rsid w:val="006E04E3"/>
    <w:rPr>
      <w:rFonts w:ascii="Cambria" w:eastAsia="Cambria" w:hAnsi="Cambria" w:cs="Times New Roman"/>
      <w:sz w:val="24"/>
      <w:lang w:eastAsia="en-US"/>
    </w:rPr>
  </w:style>
  <w:style w:type="character" w:customStyle="1" w:styleId="CommentTextChar">
    <w:name w:val="Comment Text Char"/>
    <w:basedOn w:val="DefaultParagraphFont"/>
    <w:link w:val="CommentText"/>
    <w:uiPriority w:val="99"/>
    <w:semiHidden/>
    <w:rsid w:val="006E04E3"/>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E04E3"/>
    <w:rPr>
      <w:b/>
      <w:bCs/>
      <w:sz w:val="20"/>
      <w:szCs w:val="20"/>
    </w:rPr>
  </w:style>
  <w:style w:type="character" w:customStyle="1" w:styleId="CommentSubjectChar">
    <w:name w:val="Comment Subject Char"/>
    <w:basedOn w:val="CommentTextChar"/>
    <w:link w:val="CommentSubject"/>
    <w:uiPriority w:val="99"/>
    <w:semiHidden/>
    <w:rsid w:val="006E04E3"/>
    <w:rPr>
      <w:rFonts w:ascii="Cambria" w:eastAsia="Cambria" w:hAnsi="Cambria" w:cs="Times New Roman"/>
      <w:b/>
      <w:bCs/>
      <w:sz w:val="24"/>
      <w:szCs w:val="24"/>
      <w:lang w:eastAsia="en-US"/>
    </w:rPr>
  </w:style>
  <w:style w:type="table" w:styleId="TableGrid">
    <w:name w:val="Table Grid"/>
    <w:basedOn w:val="TableNormal"/>
    <w:uiPriority w:val="59"/>
    <w:rsid w:val="006E04E3"/>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04E3"/>
    <w:rPr>
      <w:rFonts w:ascii="Cambria" w:eastAsia="Cambria" w:hAnsi="Cambria" w:cs="Times New Roman"/>
      <w:sz w:val="24"/>
      <w:szCs w:val="24"/>
      <w:lang w:eastAsia="en-US"/>
    </w:rPr>
  </w:style>
  <w:style w:type="character" w:styleId="Hyperlink">
    <w:name w:val="Hyperlink"/>
    <w:basedOn w:val="DefaultParagraphFont"/>
    <w:uiPriority w:val="99"/>
    <w:unhideWhenUsed/>
    <w:rsid w:val="007C2D82"/>
    <w:rPr>
      <w:color w:val="0000FF" w:themeColor="hyperlink"/>
      <w:u w:val="single"/>
    </w:rPr>
  </w:style>
  <w:style w:type="character" w:styleId="FollowedHyperlink">
    <w:name w:val="FollowedHyperlink"/>
    <w:basedOn w:val="DefaultParagraphFont"/>
    <w:uiPriority w:val="99"/>
    <w:semiHidden/>
    <w:unhideWhenUsed/>
    <w:rsid w:val="007E7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Macintosh Word</Application>
  <DocSecurity>4</DocSecurity>
  <Lines>17</Lines>
  <Paragraphs>4</Paragraphs>
  <ScaleCrop>false</ScaleCrop>
  <Company>JFF</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dc:description/>
  <cp:lastModifiedBy>Sarah L. Hatton</cp:lastModifiedBy>
  <cp:revision>2</cp:revision>
  <dcterms:created xsi:type="dcterms:W3CDTF">2013-03-07T21:20:00Z</dcterms:created>
  <dcterms:modified xsi:type="dcterms:W3CDTF">2013-03-07T21:20:00Z</dcterms:modified>
</cp:coreProperties>
</file>