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10" w:rsidRPr="007E4153" w:rsidRDefault="00071B10" w:rsidP="007E4153">
      <w:pPr>
        <w:widowControl w:val="0"/>
        <w:autoSpaceDE w:val="0"/>
        <w:autoSpaceDN w:val="0"/>
        <w:adjustRightInd w:val="0"/>
        <w:spacing w:after="280" w:line="360" w:lineRule="auto"/>
        <w:jc w:val="center"/>
        <w:rPr>
          <w:rFonts w:cs="Arial"/>
          <w:color w:val="17365D" w:themeColor="text2" w:themeShade="BF"/>
          <w:sz w:val="32"/>
          <w:szCs w:val="32"/>
        </w:rPr>
      </w:pPr>
      <w:r w:rsidRPr="007E4153">
        <w:rPr>
          <w:rFonts w:cs="Arial"/>
          <w:color w:val="17365D" w:themeColor="text2" w:themeShade="BF"/>
          <w:sz w:val="32"/>
          <w:szCs w:val="32"/>
        </w:rPr>
        <w:t xml:space="preserve">STRATEGIES FOR MAKING AND MAINTAINING </w:t>
      </w:r>
      <w:r w:rsidR="003007C8">
        <w:rPr>
          <w:rFonts w:cs="Arial"/>
          <w:color w:val="17365D" w:themeColor="text2" w:themeShade="BF"/>
          <w:sz w:val="32"/>
          <w:szCs w:val="32"/>
        </w:rPr>
        <w:t xml:space="preserve">A </w:t>
      </w:r>
      <w:r w:rsidRPr="007E4153">
        <w:rPr>
          <w:rFonts w:cs="Arial"/>
          <w:color w:val="17365D" w:themeColor="text2" w:themeShade="BF"/>
          <w:sz w:val="32"/>
          <w:szCs w:val="32"/>
        </w:rPr>
        <w:t>COLLEGE CONNECTION: THREE CRITICAL AREAS OF WORK</w:t>
      </w:r>
    </w:p>
    <w:p w:rsidR="00071B10" w:rsidRPr="007E4153" w:rsidRDefault="00071B10" w:rsidP="007E4153">
      <w:pPr>
        <w:widowControl w:val="0"/>
        <w:autoSpaceDE w:val="0"/>
        <w:autoSpaceDN w:val="0"/>
        <w:adjustRightInd w:val="0"/>
        <w:spacing w:after="280" w:line="360" w:lineRule="auto"/>
        <w:rPr>
          <w:rFonts w:cs="Arial"/>
          <w:color w:val="484546"/>
          <w:szCs w:val="22"/>
        </w:rPr>
      </w:pPr>
      <w:r w:rsidRPr="007E4153">
        <w:rPr>
          <w:rFonts w:cs="Arial"/>
          <w:color w:val="484546"/>
          <w:szCs w:val="22"/>
        </w:rPr>
        <w:t xml:space="preserve">The activities that CCTA and its partner, </w:t>
      </w:r>
      <w:hyperlink r:id="rId9" w:history="1">
        <w:r w:rsidR="003007C8">
          <w:rPr>
            <w:rFonts w:cs="Arial"/>
            <w:b/>
            <w:bCs/>
            <w:color w:val="06346C"/>
            <w:szCs w:val="22"/>
          </w:rPr>
          <w:t>South Texas College</w:t>
        </w:r>
      </w:hyperlink>
      <w:r w:rsidRPr="007E4153">
        <w:rPr>
          <w:rFonts w:cs="Arial"/>
          <w:color w:val="484546"/>
          <w:szCs w:val="22"/>
        </w:rPr>
        <w:t>, implement to help returning students make and maintain the college connection can be divided into three categories: academic, cultural, and administrative.  All three elements are necessary to ensure the college connection is made and maintained.  The elements are integrated throughout the student’s experience</w:t>
      </w:r>
      <w:r w:rsidR="003007C8">
        <w:rPr>
          <w:rFonts w:cs="Arial"/>
          <w:color w:val="484546"/>
          <w:szCs w:val="22"/>
        </w:rPr>
        <w:t>,</w:t>
      </w:r>
      <w:r w:rsidRPr="007E4153">
        <w:rPr>
          <w:rFonts w:cs="Arial"/>
          <w:color w:val="484546"/>
          <w:szCs w:val="22"/>
        </w:rPr>
        <w:t xml:space="preserve"> from recruitment through high school graduation and matriculation into college. </w:t>
      </w:r>
    </w:p>
    <w:p w:rsidR="00071B10" w:rsidRPr="007E4153" w:rsidRDefault="00071B10" w:rsidP="007E4153">
      <w:pPr>
        <w:widowControl w:val="0"/>
        <w:autoSpaceDE w:val="0"/>
        <w:autoSpaceDN w:val="0"/>
        <w:adjustRightInd w:val="0"/>
        <w:spacing w:after="100" w:line="360" w:lineRule="auto"/>
        <w:rPr>
          <w:rFonts w:cs="Arial"/>
          <w:color w:val="45709A"/>
          <w:sz w:val="24"/>
          <w:szCs w:val="30"/>
        </w:rPr>
      </w:pPr>
      <w:r w:rsidRPr="007E4153">
        <w:rPr>
          <w:rFonts w:cs="Arial"/>
          <w:color w:val="45709A"/>
          <w:sz w:val="24"/>
          <w:szCs w:val="30"/>
        </w:rPr>
        <w:t>KEY PRINICIPLES OF A COLLEGE CONNECTION</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ENSURE ACADEMIC READINESS</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At CCTA staff:</w:t>
      </w:r>
    </w:p>
    <w:p w:rsidR="00071B10" w:rsidRPr="007E4153" w:rsidRDefault="00071B10" w:rsidP="007E4153">
      <w:pPr>
        <w:pStyle w:val="ListParagraph"/>
        <w:widowControl w:val="0"/>
        <w:numPr>
          <w:ilvl w:val="0"/>
          <w:numId w:val="35"/>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 xml:space="preserve">Use </w:t>
      </w:r>
      <w:hyperlink r:id="rId10" w:history="1">
        <w:proofErr w:type="spellStart"/>
        <w:r w:rsidR="003007C8" w:rsidRPr="003007C8">
          <w:rPr>
            <w:rStyle w:val="Hyperlink"/>
            <w:rFonts w:ascii="Arial" w:hAnsi="Arial" w:cs="Arial"/>
            <w:sz w:val="22"/>
            <w:szCs w:val="22"/>
          </w:rPr>
          <w:t>JF</w:t>
        </w:r>
        <w:r w:rsidR="003007C8" w:rsidRPr="003007C8">
          <w:rPr>
            <w:rStyle w:val="Hyperlink"/>
            <w:rFonts w:ascii="Arial" w:hAnsi="Arial" w:cs="Arial"/>
            <w:sz w:val="22"/>
            <w:szCs w:val="22"/>
          </w:rPr>
          <w:t>F</w:t>
        </w:r>
        <w:r w:rsidR="003007C8" w:rsidRPr="003007C8">
          <w:rPr>
            <w:rStyle w:val="Hyperlink"/>
            <w:rFonts w:ascii="Arial" w:hAnsi="Arial" w:cs="Arial"/>
            <w:sz w:val="22"/>
            <w:szCs w:val="22"/>
          </w:rPr>
          <w:t>’s</w:t>
        </w:r>
        <w:proofErr w:type="spellEnd"/>
      </w:hyperlink>
      <w:r w:rsidRPr="007E4153">
        <w:rPr>
          <w:rFonts w:ascii="Arial" w:hAnsi="Arial" w:cs="Arial"/>
          <w:color w:val="484546"/>
          <w:sz w:val="22"/>
          <w:szCs w:val="22"/>
        </w:rPr>
        <w:t xml:space="preserve"> Common Instructional Framework to prep</w:t>
      </w:r>
      <w:r w:rsidR="003007C8">
        <w:rPr>
          <w:rFonts w:ascii="Arial" w:hAnsi="Arial" w:cs="Arial"/>
          <w:color w:val="484546"/>
          <w:sz w:val="22"/>
          <w:szCs w:val="22"/>
        </w:rPr>
        <w:t>are students for college course</w:t>
      </w:r>
      <w:r w:rsidRPr="007E4153">
        <w:rPr>
          <w:rFonts w:ascii="Arial" w:hAnsi="Arial" w:cs="Arial"/>
          <w:color w:val="484546"/>
          <w:sz w:val="22"/>
          <w:szCs w:val="22"/>
        </w:rPr>
        <w:t>work</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5"/>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Provide the required College Success course</w:t>
      </w:r>
      <w:r w:rsidR="003007C8">
        <w:rPr>
          <w:rFonts w:ascii="Arial" w:hAnsi="Arial" w:cs="Arial"/>
          <w:color w:val="484546"/>
          <w:sz w:val="22"/>
          <w:szCs w:val="22"/>
        </w:rPr>
        <w:t>,</w:t>
      </w:r>
      <w:r w:rsidRPr="007E4153">
        <w:rPr>
          <w:rFonts w:ascii="Arial" w:hAnsi="Arial" w:cs="Arial"/>
          <w:color w:val="484546"/>
          <w:sz w:val="22"/>
          <w:szCs w:val="22"/>
        </w:rPr>
        <w:t> which covers college success skills such as study skills and time management and is required by South Texas College for all matriculating students</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5"/>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Prepare students for their mini-</w:t>
      </w:r>
      <w:proofErr w:type="spellStart"/>
      <w:r w:rsidRPr="007E4153">
        <w:rPr>
          <w:rFonts w:ascii="Arial" w:hAnsi="Arial" w:cs="Arial"/>
          <w:color w:val="484546"/>
          <w:sz w:val="22"/>
          <w:szCs w:val="22"/>
        </w:rPr>
        <w:t>mesters</w:t>
      </w:r>
      <w:proofErr w:type="spellEnd"/>
      <w:r w:rsidRPr="007E4153">
        <w:rPr>
          <w:rFonts w:ascii="Arial" w:hAnsi="Arial" w:cs="Arial"/>
          <w:color w:val="484546"/>
          <w:sz w:val="22"/>
          <w:szCs w:val="22"/>
        </w:rPr>
        <w:t xml:space="preserve"> by using the mini-</w:t>
      </w:r>
      <w:proofErr w:type="spellStart"/>
      <w:r w:rsidRPr="007E4153">
        <w:rPr>
          <w:rFonts w:ascii="Arial" w:hAnsi="Arial" w:cs="Arial"/>
          <w:color w:val="484546"/>
          <w:sz w:val="22"/>
          <w:szCs w:val="22"/>
        </w:rPr>
        <w:t>mester</w:t>
      </w:r>
      <w:proofErr w:type="spellEnd"/>
      <w:r w:rsidRPr="007E4153">
        <w:rPr>
          <w:rFonts w:ascii="Arial" w:hAnsi="Arial" w:cs="Arial"/>
          <w:color w:val="484546"/>
          <w:sz w:val="22"/>
          <w:szCs w:val="22"/>
        </w:rPr>
        <w:t xml:space="preserve"> academic course content as “practice” content in the College Success class</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5"/>
        </w:numPr>
        <w:tabs>
          <w:tab w:val="left" w:pos="220"/>
          <w:tab w:val="left" w:pos="720"/>
        </w:tabs>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Make connections between skills gained in CCTA coursework and future college coursework</w:t>
      </w:r>
      <w:r w:rsidR="003007C8">
        <w:rPr>
          <w:rFonts w:ascii="Arial" w:hAnsi="Arial" w:cs="Arial"/>
          <w:color w:val="484546"/>
          <w:sz w:val="22"/>
          <w:szCs w:val="22"/>
        </w:rPr>
        <w:t>.</w:t>
      </w:r>
      <w:r w:rsidRPr="007E4153">
        <w:rPr>
          <w:rFonts w:ascii="Arial" w:hAnsi="Arial" w:cs="Arial"/>
          <w:color w:val="484546"/>
          <w:sz w:val="22"/>
          <w:szCs w:val="22"/>
        </w:rPr>
        <w:t> </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ESTABLISH A COLLEGE-GOING CULTURE</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 xml:space="preserve">At </w:t>
      </w:r>
      <w:proofErr w:type="spellStart"/>
      <w:r w:rsidRPr="007E4153">
        <w:rPr>
          <w:rFonts w:cs="Arial"/>
          <w:color w:val="484546"/>
          <w:szCs w:val="22"/>
        </w:rPr>
        <w:t>CCTA</w:t>
      </w:r>
      <w:proofErr w:type="spellEnd"/>
      <w:r w:rsidR="003007C8">
        <w:rPr>
          <w:rFonts w:cs="Arial"/>
          <w:color w:val="484546"/>
          <w:szCs w:val="22"/>
        </w:rPr>
        <w:t>,</w:t>
      </w:r>
      <w:r w:rsidRPr="007E4153">
        <w:rPr>
          <w:rFonts w:cs="Arial"/>
          <w:color w:val="484546"/>
          <w:szCs w:val="22"/>
        </w:rPr>
        <w:t xml:space="preserve"> staff:</w:t>
      </w:r>
    </w:p>
    <w:p w:rsidR="00071B10" w:rsidRPr="007E4153" w:rsidRDefault="00071B10" w:rsidP="007E4153">
      <w:pPr>
        <w:pStyle w:val="ListParagraph"/>
        <w:widowControl w:val="0"/>
        <w:numPr>
          <w:ilvl w:val="0"/>
          <w:numId w:val="36"/>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 xml:space="preserve">Set the tone with recruitment material that focuses on students future successes and not </w:t>
      </w:r>
      <w:proofErr w:type="gramStart"/>
      <w:r w:rsidRPr="007E4153">
        <w:rPr>
          <w:rFonts w:ascii="Arial" w:hAnsi="Arial" w:cs="Arial"/>
          <w:color w:val="484546"/>
          <w:sz w:val="22"/>
          <w:szCs w:val="22"/>
        </w:rPr>
        <w:t>their</w:t>
      </w:r>
      <w:proofErr w:type="gramEnd"/>
      <w:r w:rsidRPr="007E4153">
        <w:rPr>
          <w:rFonts w:ascii="Arial" w:hAnsi="Arial" w:cs="Arial"/>
          <w:color w:val="484546"/>
          <w:sz w:val="22"/>
          <w:szCs w:val="22"/>
        </w:rPr>
        <w:t xml:space="preserve"> past failures</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6"/>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lastRenderedPageBreak/>
        <w:t>During Intake:</w:t>
      </w:r>
    </w:p>
    <w:p w:rsidR="00071B10" w:rsidRPr="007E4153" w:rsidRDefault="00071B10" w:rsidP="007E4153">
      <w:pPr>
        <w:pStyle w:val="ListParagraph"/>
        <w:widowControl w:val="0"/>
        <w:numPr>
          <w:ilvl w:val="1"/>
          <w:numId w:val="30"/>
        </w:numPr>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Introduce students to dual enrollment and college readiness while starting related paperwork</w:t>
      </w:r>
      <w:r w:rsidR="003007C8">
        <w:rPr>
          <w:rFonts w:ascii="Arial" w:hAnsi="Arial" w:cs="Arial"/>
          <w:color w:val="484546"/>
          <w:sz w:val="22"/>
          <w:szCs w:val="22"/>
        </w:rPr>
        <w:t>.</w:t>
      </w:r>
    </w:p>
    <w:p w:rsidR="00071B10" w:rsidRPr="007E4153" w:rsidRDefault="00071B10" w:rsidP="007E4153">
      <w:pPr>
        <w:pStyle w:val="ListParagraph"/>
        <w:widowControl w:val="0"/>
        <w:numPr>
          <w:ilvl w:val="1"/>
          <w:numId w:val="30"/>
        </w:numPr>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Provide information about college to stud</w:t>
      </w:r>
      <w:r w:rsidR="003007C8">
        <w:rPr>
          <w:rFonts w:ascii="Arial" w:hAnsi="Arial" w:cs="Arial"/>
          <w:color w:val="484546"/>
          <w:sz w:val="22"/>
          <w:szCs w:val="22"/>
        </w:rPr>
        <w:t>ents through the on site, the GO</w:t>
      </w:r>
      <w:r w:rsidRPr="007E4153">
        <w:rPr>
          <w:rFonts w:ascii="Arial" w:hAnsi="Arial" w:cs="Arial"/>
          <w:color w:val="484546"/>
          <w:sz w:val="22"/>
          <w:szCs w:val="22"/>
        </w:rPr>
        <w:t xml:space="preserve"> Center, staffed by a combination of current college students, a transition counselor, and CCTA staff.</w:t>
      </w:r>
    </w:p>
    <w:p w:rsidR="00071B10" w:rsidRPr="007E4153" w:rsidRDefault="00071B10" w:rsidP="007E4153">
      <w:pPr>
        <w:pStyle w:val="ListParagraph"/>
        <w:widowControl w:val="0"/>
        <w:numPr>
          <w:ilvl w:val="1"/>
          <w:numId w:val="30"/>
        </w:numPr>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Have students complete the “college interest survey,” indicating courses they would like to take when eligible for dual enrollment.</w:t>
      </w:r>
    </w:p>
    <w:p w:rsidR="00071B10" w:rsidRPr="007E4153" w:rsidRDefault="00071B10" w:rsidP="007E4153">
      <w:pPr>
        <w:pStyle w:val="ListParagraph"/>
        <w:widowControl w:val="0"/>
        <w:numPr>
          <w:ilvl w:val="1"/>
          <w:numId w:val="30"/>
        </w:numPr>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Introduce students to the mini-</w:t>
      </w:r>
      <w:proofErr w:type="spellStart"/>
      <w:r w:rsidRPr="007E4153">
        <w:rPr>
          <w:rFonts w:ascii="Arial" w:hAnsi="Arial" w:cs="Arial"/>
          <w:color w:val="484546"/>
          <w:sz w:val="22"/>
          <w:szCs w:val="22"/>
        </w:rPr>
        <w:t>mester</w:t>
      </w:r>
      <w:proofErr w:type="spellEnd"/>
      <w:r w:rsidRPr="007E4153">
        <w:rPr>
          <w:rFonts w:ascii="Arial" w:hAnsi="Arial" w:cs="Arial"/>
          <w:color w:val="484546"/>
          <w:sz w:val="22"/>
          <w:szCs w:val="22"/>
        </w:rPr>
        <w:t xml:space="preserve"> concept: a compressed college-level course taken either at South Texas College or on the CCTA camp</w:t>
      </w:r>
      <w:r w:rsidR="003007C8">
        <w:rPr>
          <w:rFonts w:ascii="Arial" w:hAnsi="Arial" w:cs="Arial"/>
          <w:color w:val="484546"/>
          <w:sz w:val="22"/>
          <w:szCs w:val="22"/>
        </w:rPr>
        <w:t>us.</w:t>
      </w:r>
    </w:p>
    <w:p w:rsidR="00071B10" w:rsidRPr="007E4153" w:rsidRDefault="00071B10" w:rsidP="007E4153">
      <w:pPr>
        <w:pStyle w:val="ListParagraph"/>
        <w:widowControl w:val="0"/>
        <w:numPr>
          <w:ilvl w:val="1"/>
          <w:numId w:val="30"/>
        </w:numPr>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Make sure students attending group intake (rather than one-on-one intake) stop at the intake station devoted to the college transition. In addition to helping incoming students complete the STC registration for dual enrollment, career pathway information is shared and students are introduced to the GO Center.</w:t>
      </w:r>
    </w:p>
    <w:p w:rsidR="00071B10" w:rsidRPr="007E4153" w:rsidRDefault="00071B10" w:rsidP="007E4153">
      <w:pPr>
        <w:pStyle w:val="ListParagraph"/>
        <w:widowControl w:val="0"/>
        <w:numPr>
          <w:ilvl w:val="0"/>
          <w:numId w:val="37"/>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Plan for college during weekly mentor classes</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7"/>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Fill the visual environment with message</w:t>
      </w:r>
      <w:r w:rsidR="003007C8">
        <w:rPr>
          <w:rFonts w:ascii="Arial" w:hAnsi="Arial" w:cs="Arial"/>
          <w:color w:val="484546"/>
          <w:sz w:val="22"/>
          <w:szCs w:val="22"/>
        </w:rPr>
        <w:t>s</w:t>
      </w:r>
      <w:r w:rsidRPr="007E4153">
        <w:rPr>
          <w:rFonts w:ascii="Arial" w:hAnsi="Arial" w:cs="Arial"/>
          <w:color w:val="484546"/>
          <w:sz w:val="22"/>
          <w:szCs w:val="22"/>
        </w:rPr>
        <w:t xml:space="preserve"> that situate students as college-bound</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7"/>
        </w:numPr>
        <w:tabs>
          <w:tab w:val="left" w:pos="220"/>
          <w:tab w:val="left" w:pos="720"/>
        </w:tabs>
        <w:autoSpaceDE w:val="0"/>
        <w:autoSpaceDN w:val="0"/>
        <w:adjustRightInd w:val="0"/>
        <w:spacing w:after="240" w:line="360" w:lineRule="auto"/>
        <w:rPr>
          <w:rFonts w:ascii="Arial" w:hAnsi="Arial" w:cs="Arial"/>
          <w:color w:val="484546"/>
          <w:sz w:val="22"/>
          <w:szCs w:val="22"/>
        </w:rPr>
      </w:pPr>
      <w:r w:rsidRPr="007E4153">
        <w:rPr>
          <w:rFonts w:ascii="Arial" w:hAnsi="Arial" w:cs="Arial"/>
          <w:color w:val="484546"/>
          <w:sz w:val="22"/>
          <w:szCs w:val="22"/>
        </w:rPr>
        <w:t>Encourage identification with college s</w:t>
      </w:r>
      <w:r w:rsidR="003007C8">
        <w:rPr>
          <w:rFonts w:ascii="Arial" w:hAnsi="Arial" w:cs="Arial"/>
          <w:color w:val="484546"/>
          <w:sz w:val="22"/>
          <w:szCs w:val="22"/>
        </w:rPr>
        <w:t>tudents via mini-</w:t>
      </w:r>
      <w:proofErr w:type="spellStart"/>
      <w:r w:rsidR="003007C8">
        <w:rPr>
          <w:rFonts w:ascii="Arial" w:hAnsi="Arial" w:cs="Arial"/>
          <w:color w:val="484546"/>
          <w:sz w:val="22"/>
          <w:szCs w:val="22"/>
        </w:rPr>
        <w:t>mester</w:t>
      </w:r>
      <w:proofErr w:type="spellEnd"/>
      <w:r w:rsidR="003007C8">
        <w:rPr>
          <w:rFonts w:ascii="Arial" w:hAnsi="Arial" w:cs="Arial"/>
          <w:color w:val="484546"/>
          <w:sz w:val="22"/>
          <w:szCs w:val="22"/>
        </w:rPr>
        <w:t xml:space="preserve"> courses.</w:t>
      </w:r>
    </w:p>
    <w:p w:rsidR="00071B10" w:rsidRPr="007E4153" w:rsidRDefault="00071B10" w:rsidP="007E4153">
      <w:pPr>
        <w:pStyle w:val="ListParagraph"/>
        <w:widowControl w:val="0"/>
        <w:numPr>
          <w:ilvl w:val="0"/>
          <w:numId w:val="37"/>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Take students on tours of STC campuses</w:t>
      </w:r>
      <w:r w:rsidR="003007C8">
        <w:rPr>
          <w:rFonts w:ascii="Arial" w:hAnsi="Arial" w:cs="Arial"/>
          <w:color w:val="484546"/>
          <w:sz w:val="22"/>
          <w:szCs w:val="22"/>
        </w:rPr>
        <w:t>.</w:t>
      </w:r>
    </w:p>
    <w:p w:rsidR="00071B10" w:rsidRPr="007E4153" w:rsidRDefault="003007C8" w:rsidP="007E4153">
      <w:pPr>
        <w:pStyle w:val="ListParagraph"/>
        <w:widowControl w:val="0"/>
        <w:numPr>
          <w:ilvl w:val="0"/>
          <w:numId w:val="37"/>
        </w:numPr>
        <w:tabs>
          <w:tab w:val="left" w:pos="220"/>
          <w:tab w:val="left" w:pos="720"/>
        </w:tabs>
        <w:autoSpaceDE w:val="0"/>
        <w:autoSpaceDN w:val="0"/>
        <w:adjustRightInd w:val="0"/>
        <w:spacing w:after="120" w:line="360" w:lineRule="auto"/>
        <w:rPr>
          <w:rFonts w:ascii="Arial" w:hAnsi="Arial" w:cs="Arial"/>
          <w:color w:val="484546"/>
          <w:sz w:val="22"/>
          <w:szCs w:val="22"/>
        </w:rPr>
      </w:pPr>
      <w:r>
        <w:rPr>
          <w:rFonts w:ascii="Arial" w:hAnsi="Arial" w:cs="Arial"/>
          <w:color w:val="484546"/>
          <w:sz w:val="22"/>
          <w:szCs w:val="22"/>
        </w:rPr>
        <w:t>Situate a GO C</w:t>
      </w:r>
      <w:r w:rsidR="00071B10" w:rsidRPr="007E4153">
        <w:rPr>
          <w:rFonts w:ascii="Arial" w:hAnsi="Arial" w:cs="Arial"/>
          <w:color w:val="484546"/>
          <w:sz w:val="22"/>
          <w:szCs w:val="22"/>
        </w:rPr>
        <w:t>enter on the CCTA campus</w:t>
      </w:r>
      <w:r>
        <w:rPr>
          <w:rFonts w:ascii="Arial" w:hAnsi="Arial" w:cs="Arial"/>
          <w:color w:val="484546"/>
          <w:sz w:val="22"/>
          <w:szCs w:val="22"/>
        </w:rPr>
        <w:t>.</w:t>
      </w:r>
    </w:p>
    <w:p w:rsidR="00071B10" w:rsidRPr="007E4153" w:rsidRDefault="003007C8" w:rsidP="007E4153">
      <w:pPr>
        <w:pStyle w:val="ListParagraph"/>
        <w:widowControl w:val="0"/>
        <w:numPr>
          <w:ilvl w:val="0"/>
          <w:numId w:val="37"/>
        </w:numPr>
        <w:tabs>
          <w:tab w:val="left" w:pos="220"/>
          <w:tab w:val="left" w:pos="720"/>
        </w:tabs>
        <w:autoSpaceDE w:val="0"/>
        <w:autoSpaceDN w:val="0"/>
        <w:adjustRightInd w:val="0"/>
        <w:spacing w:after="240" w:line="360" w:lineRule="auto"/>
        <w:rPr>
          <w:rFonts w:ascii="Arial" w:hAnsi="Arial" w:cs="Arial"/>
          <w:color w:val="484546"/>
          <w:sz w:val="22"/>
          <w:szCs w:val="22"/>
        </w:rPr>
      </w:pPr>
      <w:r>
        <w:rPr>
          <w:rFonts w:ascii="Arial" w:hAnsi="Arial" w:cs="Arial"/>
          <w:color w:val="484546"/>
          <w:sz w:val="22"/>
          <w:szCs w:val="22"/>
        </w:rPr>
        <w:t>Organize periodic “one-s</w:t>
      </w:r>
      <w:r w:rsidR="00071B10" w:rsidRPr="007E4153">
        <w:rPr>
          <w:rFonts w:ascii="Arial" w:hAnsi="Arial" w:cs="Arial"/>
          <w:color w:val="484546"/>
          <w:sz w:val="22"/>
          <w:szCs w:val="22"/>
        </w:rPr>
        <w:t>top days,</w:t>
      </w:r>
      <w:r>
        <w:rPr>
          <w:rFonts w:ascii="Arial" w:hAnsi="Arial" w:cs="Arial"/>
          <w:color w:val="484546"/>
          <w:sz w:val="22"/>
          <w:szCs w:val="22"/>
        </w:rPr>
        <w:t>”</w:t>
      </w:r>
      <w:r w:rsidR="00071B10" w:rsidRPr="007E4153">
        <w:rPr>
          <w:rFonts w:ascii="Arial" w:hAnsi="Arial" w:cs="Arial"/>
          <w:color w:val="484546"/>
          <w:sz w:val="22"/>
          <w:szCs w:val="22"/>
        </w:rPr>
        <w:t xml:space="preserve"> run by the STC outreach specialist and held at CCTA.  Representatives from STC admissions, financial aid, and student advising set up at CCTA with laptops in hand to help students complete all documentation needed to enroll as students</w:t>
      </w:r>
      <w:r>
        <w:rPr>
          <w:rFonts w:ascii="Arial" w:hAnsi="Arial" w:cs="Arial"/>
          <w:color w:val="484546"/>
          <w:sz w:val="22"/>
          <w:szCs w:val="22"/>
        </w:rPr>
        <w:t>.</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PROVIDE ALTERNATIVE SUPPORTS</w:t>
      </w:r>
    </w:p>
    <w:p w:rsidR="00071B10" w:rsidRPr="007E4153" w:rsidRDefault="00071B10" w:rsidP="007E4153">
      <w:pPr>
        <w:widowControl w:val="0"/>
        <w:autoSpaceDE w:val="0"/>
        <w:autoSpaceDN w:val="0"/>
        <w:adjustRightInd w:val="0"/>
        <w:spacing w:after="240" w:line="360" w:lineRule="auto"/>
        <w:rPr>
          <w:rFonts w:cs="Arial"/>
          <w:color w:val="484546"/>
          <w:szCs w:val="22"/>
        </w:rPr>
      </w:pPr>
      <w:r w:rsidRPr="007E4153">
        <w:rPr>
          <w:rFonts w:cs="Arial"/>
          <w:color w:val="484546"/>
          <w:szCs w:val="22"/>
        </w:rPr>
        <w:t>At CCTA staff:</w:t>
      </w:r>
    </w:p>
    <w:p w:rsidR="00071B10"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Start the dual enrollment registration process during intake</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Provide STC with the student interest and student eligibility data they need to set up courses and enroll students in mini-</w:t>
      </w:r>
      <w:proofErr w:type="spellStart"/>
      <w:r w:rsidRPr="007E4153">
        <w:rPr>
          <w:rFonts w:ascii="Arial" w:hAnsi="Arial" w:cs="Arial"/>
          <w:color w:val="484546"/>
          <w:sz w:val="22"/>
          <w:szCs w:val="22"/>
        </w:rPr>
        <w:t>mesters</w:t>
      </w:r>
      <w:proofErr w:type="spellEnd"/>
      <w:r w:rsidR="003007C8">
        <w:rPr>
          <w:rFonts w:ascii="Arial" w:hAnsi="Arial" w:cs="Arial"/>
          <w:color w:val="484546"/>
          <w:sz w:val="22"/>
          <w:szCs w:val="22"/>
        </w:rPr>
        <w:t>.</w:t>
      </w:r>
      <w:r w:rsidRPr="007E4153">
        <w:rPr>
          <w:rFonts w:ascii="Arial" w:hAnsi="Arial" w:cs="Arial"/>
          <w:color w:val="484546"/>
          <w:sz w:val="22"/>
          <w:szCs w:val="22"/>
        </w:rPr>
        <w:t> </w:t>
      </w:r>
    </w:p>
    <w:p w:rsidR="00071B10"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Provide STC with all relevant transcripts and TAKS scores</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Enable the STC outreach counselor to visit the mini-</w:t>
      </w:r>
      <w:proofErr w:type="spellStart"/>
      <w:r w:rsidRPr="007E4153">
        <w:rPr>
          <w:rFonts w:ascii="Arial" w:hAnsi="Arial" w:cs="Arial"/>
          <w:color w:val="484546"/>
          <w:sz w:val="22"/>
          <w:szCs w:val="22"/>
        </w:rPr>
        <w:t>mester</w:t>
      </w:r>
      <w:proofErr w:type="spellEnd"/>
      <w:r w:rsidRPr="007E4153">
        <w:rPr>
          <w:rFonts w:ascii="Arial" w:hAnsi="Arial" w:cs="Arial"/>
          <w:color w:val="484546"/>
          <w:sz w:val="22"/>
          <w:szCs w:val="22"/>
        </w:rPr>
        <w:t xml:space="preserve"> class on the first day to assure registrations are completed</w:t>
      </w:r>
      <w:r w:rsidR="003007C8">
        <w:rPr>
          <w:rFonts w:ascii="Arial" w:hAnsi="Arial" w:cs="Arial"/>
          <w:color w:val="484546"/>
          <w:sz w:val="22"/>
          <w:szCs w:val="22"/>
        </w:rPr>
        <w:t>.</w:t>
      </w:r>
    </w:p>
    <w:p w:rsidR="00071B10"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Invite the</w:t>
      </w:r>
      <w:r w:rsidR="003007C8">
        <w:rPr>
          <w:rFonts w:ascii="Arial" w:hAnsi="Arial" w:cs="Arial"/>
          <w:color w:val="484546"/>
          <w:sz w:val="22"/>
          <w:szCs w:val="22"/>
        </w:rPr>
        <w:t xml:space="preserve"> STC outreach counselor to run o</w:t>
      </w:r>
      <w:r w:rsidRPr="007E4153">
        <w:rPr>
          <w:rFonts w:ascii="Arial" w:hAnsi="Arial" w:cs="Arial"/>
          <w:color w:val="484546"/>
          <w:sz w:val="22"/>
          <w:szCs w:val="22"/>
        </w:rPr>
        <w:t>ne-</w:t>
      </w:r>
      <w:r w:rsidR="003007C8">
        <w:rPr>
          <w:rFonts w:ascii="Arial" w:hAnsi="Arial" w:cs="Arial"/>
          <w:color w:val="484546"/>
          <w:sz w:val="22"/>
          <w:szCs w:val="22"/>
        </w:rPr>
        <w:t>s</w:t>
      </w:r>
      <w:r w:rsidRPr="007E4153">
        <w:rPr>
          <w:rFonts w:ascii="Arial" w:hAnsi="Arial" w:cs="Arial"/>
          <w:color w:val="484546"/>
          <w:sz w:val="22"/>
          <w:szCs w:val="22"/>
        </w:rPr>
        <w:t>top registration days on site at CCTA to register graduating CCTA students as matriculating STC students</w:t>
      </w:r>
      <w:r w:rsidR="003007C8">
        <w:rPr>
          <w:rFonts w:ascii="Arial" w:hAnsi="Arial" w:cs="Arial"/>
          <w:color w:val="484546"/>
          <w:sz w:val="22"/>
          <w:szCs w:val="22"/>
        </w:rPr>
        <w:t>.</w:t>
      </w:r>
      <w:bookmarkStart w:id="0" w:name="_GoBack"/>
      <w:bookmarkEnd w:id="0"/>
    </w:p>
    <w:p w:rsidR="00F11C11" w:rsidRPr="007E4153" w:rsidRDefault="00071B10" w:rsidP="007E4153">
      <w:pPr>
        <w:pStyle w:val="ListParagraph"/>
        <w:widowControl w:val="0"/>
        <w:numPr>
          <w:ilvl w:val="0"/>
          <w:numId w:val="38"/>
        </w:numPr>
        <w:tabs>
          <w:tab w:val="left" w:pos="220"/>
          <w:tab w:val="left" w:pos="720"/>
        </w:tabs>
        <w:autoSpaceDE w:val="0"/>
        <w:autoSpaceDN w:val="0"/>
        <w:adjustRightInd w:val="0"/>
        <w:spacing w:after="120" w:line="360" w:lineRule="auto"/>
        <w:rPr>
          <w:rFonts w:ascii="Arial" w:hAnsi="Arial" w:cs="Arial"/>
          <w:color w:val="484546"/>
          <w:sz w:val="22"/>
          <w:szCs w:val="22"/>
        </w:rPr>
      </w:pPr>
      <w:r w:rsidRPr="007E4153">
        <w:rPr>
          <w:rFonts w:ascii="Arial" w:hAnsi="Arial" w:cs="Arial"/>
          <w:color w:val="484546"/>
          <w:sz w:val="22"/>
          <w:szCs w:val="22"/>
        </w:rPr>
        <w:t>Provide multiple chances for students to get help completing financial aid and other registration forms</w:t>
      </w:r>
      <w:r w:rsidR="003007C8">
        <w:rPr>
          <w:rFonts w:ascii="Arial" w:hAnsi="Arial" w:cs="Arial"/>
          <w:color w:val="484546"/>
          <w:sz w:val="22"/>
          <w:szCs w:val="22"/>
        </w:rPr>
        <w:t>.</w:t>
      </w:r>
    </w:p>
    <w:sectPr w:rsidR="00F11C11" w:rsidRPr="007E4153" w:rsidSect="007E4153">
      <w:headerReference w:type="default" r:id="rId11"/>
      <w:footerReference w:type="default" r:id="rId12"/>
      <w:pgSz w:w="12240" w:h="15840"/>
      <w:pgMar w:top="2160" w:right="1800" w:bottom="1440" w:left="1800" w:header="630" w:footer="6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57" w:rsidRDefault="00842657" w:rsidP="007942E2">
      <w:r>
        <w:separator/>
      </w:r>
    </w:p>
  </w:endnote>
  <w:endnote w:type="continuationSeparator" w:id="0">
    <w:p w:rsidR="00842657" w:rsidRDefault="00842657" w:rsidP="007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7" w:rsidRDefault="007E4153" w:rsidP="007E4153">
    <w:pPr>
      <w:pStyle w:val="Footer"/>
      <w:jc w:val="left"/>
    </w:pPr>
    <w:r>
      <w:rPr>
        <w:noProof/>
        <w:lang w:eastAsia="en-US"/>
      </w:rPr>
      <mc:AlternateContent>
        <mc:Choice Requires="wps">
          <w:drawing>
            <wp:anchor distT="0" distB="0" distL="114300" distR="114300" simplePos="0" relativeHeight="251661312" behindDoc="1" locked="0" layoutInCell="1" allowOverlap="1" wp14:anchorId="2BEA8EEC" wp14:editId="6079B093">
              <wp:simplePos x="0" y="0"/>
              <wp:positionH relativeFrom="column">
                <wp:posOffset>-977265</wp:posOffset>
              </wp:positionH>
              <wp:positionV relativeFrom="paragraph">
                <wp:posOffset>-118110</wp:posOffset>
              </wp:positionV>
              <wp:extent cx="7429500" cy="6858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842657" w:rsidRPr="000163F0" w:rsidRDefault="00842657"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6.9pt;margin-top:-9.25pt;width:58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" fillcolor="#17365d [2415]" stroked="f">
              <v:path arrowok="t"/>
              <v:textbox>
                <w:txbxContent>
                  <w:p w:rsidR="00842657" w:rsidRPr="000163F0" w:rsidRDefault="00842657"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v:textbox>
            </v:rect>
          </w:pict>
        </mc:Fallback>
      </mc:AlternateConten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57" w:rsidRDefault="00842657" w:rsidP="007942E2">
      <w:r>
        <w:separator/>
      </w:r>
    </w:p>
  </w:footnote>
  <w:footnote w:type="continuationSeparator" w:id="0">
    <w:p w:rsidR="00842657" w:rsidRDefault="00842657" w:rsidP="00794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57" w:rsidRDefault="00842657" w:rsidP="007942E2">
    <w:pPr>
      <w:pStyle w:val="Header"/>
      <w:jc w:val="right"/>
    </w:pPr>
    <w:r>
      <w:rPr>
        <w:noProof/>
        <w:lang w:eastAsia="en-US"/>
      </w:rPr>
      <mc:AlternateContent>
        <mc:Choice Requires="wps">
          <w:drawing>
            <wp:anchor distT="0" distB="0" distL="114300" distR="114300" simplePos="0" relativeHeight="251659264" behindDoc="1" locked="0" layoutInCell="1" allowOverlap="1" wp14:anchorId="2BE2CB11" wp14:editId="36950E63">
              <wp:simplePos x="0" y="0"/>
              <wp:positionH relativeFrom="column">
                <wp:posOffset>-977265</wp:posOffset>
              </wp:positionH>
              <wp:positionV relativeFrom="paragraph">
                <wp:posOffset>-225425</wp:posOffset>
              </wp:positionV>
              <wp:extent cx="7429500" cy="9144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842657" w:rsidRDefault="00842657" w:rsidP="007942E2">
                          <w:pPr>
                            <w:jc w:val="right"/>
                            <w:rPr>
                              <w:rFonts w:cs="Arial"/>
                              <w:b/>
                              <w:sz w:val="36"/>
                              <w:szCs w:val="36"/>
                            </w:rPr>
                          </w:pPr>
                        </w:p>
                        <w:p w:rsidR="00842657" w:rsidRPr="000163F0" w:rsidRDefault="00842657"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6.9pt;margin-top:-17.7pt;width:5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" fillcolor="#17365d [2415]" stroked="f">
              <v:path arrowok="t"/>
              <v:textbox>
                <w:txbxContent>
                  <w:p w:rsidR="00842657" w:rsidRDefault="00842657" w:rsidP="007942E2">
                    <w:pPr>
                      <w:jc w:val="right"/>
                      <w:rPr>
                        <w:rFonts w:cs="Arial"/>
                        <w:b/>
                        <w:sz w:val="36"/>
                        <w:szCs w:val="36"/>
                      </w:rPr>
                    </w:pPr>
                  </w:p>
                  <w:p w:rsidR="00842657" w:rsidRPr="000163F0" w:rsidRDefault="00842657"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v:textbox>
            </v:rect>
          </w:pict>
        </mc:Fallback>
      </mc:AlternateContent>
    </w:r>
  </w:p>
  <w:p w:rsidR="00842657" w:rsidRDefault="00842657" w:rsidP="007942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D459F"/>
    <w:multiLevelType w:val="hybridMultilevel"/>
    <w:tmpl w:val="3FD68A4A"/>
    <w:lvl w:ilvl="0" w:tplc="ED1A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26059"/>
    <w:multiLevelType w:val="hybridMultilevel"/>
    <w:tmpl w:val="8C6EBB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AC14BBD"/>
    <w:multiLevelType w:val="hybridMultilevel"/>
    <w:tmpl w:val="A31E4318"/>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26649"/>
    <w:multiLevelType w:val="hybridMultilevel"/>
    <w:tmpl w:val="A29CD53C"/>
    <w:lvl w:ilvl="0" w:tplc="A18849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A6FD1"/>
    <w:multiLevelType w:val="hybridMultilevel"/>
    <w:tmpl w:val="0C6E1A2E"/>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92711"/>
    <w:multiLevelType w:val="hybridMultilevel"/>
    <w:tmpl w:val="047C52E8"/>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1709C"/>
    <w:multiLevelType w:val="hybridMultilevel"/>
    <w:tmpl w:val="AF84D23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Wingdings"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Wingdings"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Wingdings" w:hint="default"/>
      </w:rPr>
    </w:lvl>
    <w:lvl w:ilvl="8" w:tplc="04090005" w:tentative="1">
      <w:start w:val="1"/>
      <w:numFmt w:val="bullet"/>
      <w:lvlText w:val=""/>
      <w:lvlJc w:val="left"/>
      <w:pPr>
        <w:ind w:left="8646" w:hanging="360"/>
      </w:pPr>
      <w:rPr>
        <w:rFonts w:ascii="Wingdings" w:hAnsi="Wingdings" w:hint="default"/>
      </w:rPr>
    </w:lvl>
  </w:abstractNum>
  <w:abstractNum w:abstractNumId="11">
    <w:nsid w:val="197602C2"/>
    <w:multiLevelType w:val="hybridMultilevel"/>
    <w:tmpl w:val="EC2E4FAE"/>
    <w:lvl w:ilvl="0" w:tplc="ED1A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61218"/>
    <w:multiLevelType w:val="hybridMultilevel"/>
    <w:tmpl w:val="B6B4A520"/>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CE7F5A"/>
    <w:multiLevelType w:val="hybridMultilevel"/>
    <w:tmpl w:val="D5E2C556"/>
    <w:lvl w:ilvl="0" w:tplc="04090003">
      <w:start w:val="1"/>
      <w:numFmt w:val="bullet"/>
      <w:lvlText w:val="o"/>
      <w:lvlJc w:val="left"/>
      <w:pPr>
        <w:ind w:left="580" w:hanging="360"/>
      </w:pPr>
      <w:rPr>
        <w:rFonts w:ascii="Courier New" w:hAnsi="Courier New"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nsid w:val="25FA2402"/>
    <w:multiLevelType w:val="hybridMultilevel"/>
    <w:tmpl w:val="33AA71B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90A8B"/>
    <w:multiLevelType w:val="hybridMultilevel"/>
    <w:tmpl w:val="98A8DBF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62F2E"/>
    <w:multiLevelType w:val="hybridMultilevel"/>
    <w:tmpl w:val="52748EA2"/>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85BF1"/>
    <w:multiLevelType w:val="hybridMultilevel"/>
    <w:tmpl w:val="D0861E92"/>
    <w:lvl w:ilvl="0" w:tplc="72D4A84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6172F"/>
    <w:multiLevelType w:val="hybridMultilevel"/>
    <w:tmpl w:val="1FD21E76"/>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195CA5"/>
    <w:multiLevelType w:val="hybridMultilevel"/>
    <w:tmpl w:val="7D34B048"/>
    <w:lvl w:ilvl="0" w:tplc="93AA663C">
      <w:start w:val="3"/>
      <w:numFmt w:val="bullet"/>
      <w:lvlText w:val=""/>
      <w:lvlJc w:val="left"/>
      <w:pPr>
        <w:ind w:left="780" w:hanging="360"/>
      </w:pPr>
      <w:rPr>
        <w:rFonts w:ascii="Symbol" w:hAnsi="Symbol" w:hint="default"/>
        <w:color w:val="17365D"/>
        <w:sz w:val="22"/>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42862D2"/>
    <w:multiLevelType w:val="hybridMultilevel"/>
    <w:tmpl w:val="D536F172"/>
    <w:lvl w:ilvl="0" w:tplc="A18849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667EF"/>
    <w:multiLevelType w:val="multilevel"/>
    <w:tmpl w:val="D0861E92"/>
    <w:lvl w:ilvl="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8E65B48"/>
    <w:multiLevelType w:val="hybridMultilevel"/>
    <w:tmpl w:val="2E8AB3E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C21ED"/>
    <w:multiLevelType w:val="hybridMultilevel"/>
    <w:tmpl w:val="698ECE24"/>
    <w:lvl w:ilvl="0" w:tplc="ED1A9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3864CA"/>
    <w:multiLevelType w:val="hybridMultilevel"/>
    <w:tmpl w:val="F0768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24DC1"/>
    <w:multiLevelType w:val="hybridMultilevel"/>
    <w:tmpl w:val="77C66316"/>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9010D"/>
    <w:multiLevelType w:val="hybridMultilevel"/>
    <w:tmpl w:val="1A2EC124"/>
    <w:lvl w:ilvl="0" w:tplc="A18849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A136D"/>
    <w:multiLevelType w:val="hybridMultilevel"/>
    <w:tmpl w:val="C5B2F7D0"/>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A1099"/>
    <w:multiLevelType w:val="hybridMultilevel"/>
    <w:tmpl w:val="C484B7D4"/>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17C2B"/>
    <w:multiLevelType w:val="multilevel"/>
    <w:tmpl w:val="98A8DBFA"/>
    <w:lvl w:ilvl="0">
      <w:start w:val="1"/>
      <w:numFmt w:val="bullet"/>
      <w:lvlText w:val=""/>
      <w:lvlJc w:val="left"/>
      <w:pPr>
        <w:ind w:left="720" w:hanging="360"/>
      </w:pPr>
      <w:rPr>
        <w:rFonts w:ascii="Symbol" w:hAnsi="Symbol" w:hint="default"/>
        <w:color w:val="17365D"/>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AEC362D"/>
    <w:multiLevelType w:val="hybridMultilevel"/>
    <w:tmpl w:val="519412B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60254"/>
    <w:multiLevelType w:val="multilevel"/>
    <w:tmpl w:val="D5E2C556"/>
    <w:lvl w:ilvl="0">
      <w:start w:val="1"/>
      <w:numFmt w:val="bullet"/>
      <w:lvlText w:val="o"/>
      <w:lvlJc w:val="left"/>
      <w:pPr>
        <w:ind w:left="580" w:hanging="360"/>
      </w:pPr>
      <w:rPr>
        <w:rFonts w:ascii="Courier New" w:hAnsi="Courier New"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32">
    <w:nsid w:val="6C071DE7"/>
    <w:multiLevelType w:val="hybridMultilevel"/>
    <w:tmpl w:val="99F829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92DBE"/>
    <w:multiLevelType w:val="hybridMultilevel"/>
    <w:tmpl w:val="46908BE6"/>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E40E0"/>
    <w:multiLevelType w:val="hybridMultilevel"/>
    <w:tmpl w:val="F1281D1E"/>
    <w:lvl w:ilvl="0" w:tplc="04090001">
      <w:start w:val="1"/>
      <w:numFmt w:val="bullet"/>
      <w:lvlText w:val=""/>
      <w:lvlJc w:val="left"/>
      <w:pPr>
        <w:ind w:left="780" w:hanging="360"/>
      </w:pPr>
      <w:rPr>
        <w:rFonts w:ascii="Symbol" w:hAnsi="Symbol" w:hint="default"/>
        <w:color w:val="17365D"/>
        <w:sz w:val="22"/>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1982C80"/>
    <w:multiLevelType w:val="hybridMultilevel"/>
    <w:tmpl w:val="C8226A90"/>
    <w:lvl w:ilvl="0" w:tplc="A18849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94AF0"/>
    <w:multiLevelType w:val="hybridMultilevel"/>
    <w:tmpl w:val="45123A7A"/>
    <w:lvl w:ilvl="0" w:tplc="ED1A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664B2"/>
    <w:multiLevelType w:val="hybridMultilevel"/>
    <w:tmpl w:val="7650492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abstractNumId w:val="34"/>
  </w:num>
  <w:num w:numId="2">
    <w:abstractNumId w:val="19"/>
  </w:num>
  <w:num w:numId="3">
    <w:abstractNumId w:val="17"/>
  </w:num>
  <w:num w:numId="4">
    <w:abstractNumId w:val="5"/>
  </w:num>
  <w:num w:numId="5">
    <w:abstractNumId w:val="10"/>
  </w:num>
  <w:num w:numId="6">
    <w:abstractNumId w:val="37"/>
  </w:num>
  <w:num w:numId="7">
    <w:abstractNumId w:val="33"/>
  </w:num>
  <w:num w:numId="8">
    <w:abstractNumId w:val="14"/>
  </w:num>
  <w:num w:numId="9">
    <w:abstractNumId w:val="15"/>
  </w:num>
  <w:num w:numId="10">
    <w:abstractNumId w:val="18"/>
  </w:num>
  <w:num w:numId="11">
    <w:abstractNumId w:val="9"/>
  </w:num>
  <w:num w:numId="12">
    <w:abstractNumId w:val="8"/>
  </w:num>
  <w:num w:numId="13">
    <w:abstractNumId w:val="29"/>
  </w:num>
  <w:num w:numId="14">
    <w:abstractNumId w:val="24"/>
  </w:num>
  <w:num w:numId="15">
    <w:abstractNumId w:val="12"/>
  </w:num>
  <w:num w:numId="16">
    <w:abstractNumId w:val="16"/>
  </w:num>
  <w:num w:numId="17">
    <w:abstractNumId w:val="22"/>
  </w:num>
  <w:num w:numId="18">
    <w:abstractNumId w:val="30"/>
  </w:num>
  <w:num w:numId="19">
    <w:abstractNumId w:val="21"/>
  </w:num>
  <w:num w:numId="20">
    <w:abstractNumId w:val="0"/>
  </w:num>
  <w:num w:numId="21">
    <w:abstractNumId w:val="1"/>
  </w:num>
  <w:num w:numId="22">
    <w:abstractNumId w:val="4"/>
  </w:num>
  <w:num w:numId="23">
    <w:abstractNumId w:val="23"/>
  </w:num>
  <w:num w:numId="24">
    <w:abstractNumId w:val="27"/>
  </w:num>
  <w:num w:numId="25">
    <w:abstractNumId w:val="28"/>
  </w:num>
  <w:num w:numId="26">
    <w:abstractNumId w:val="25"/>
  </w:num>
  <w:num w:numId="27">
    <w:abstractNumId w:val="2"/>
  </w:num>
  <w:num w:numId="28">
    <w:abstractNumId w:val="3"/>
  </w:num>
  <w:num w:numId="29">
    <w:abstractNumId w:val="11"/>
  </w:num>
  <w:num w:numId="30">
    <w:abstractNumId w:val="36"/>
  </w:num>
  <w:num w:numId="31">
    <w:abstractNumId w:val="32"/>
  </w:num>
  <w:num w:numId="32">
    <w:abstractNumId w:val="13"/>
  </w:num>
  <w:num w:numId="33">
    <w:abstractNumId w:val="31"/>
  </w:num>
  <w:num w:numId="34">
    <w:abstractNumId w:val="6"/>
  </w:num>
  <w:num w:numId="35">
    <w:abstractNumId w:val="26"/>
  </w:num>
  <w:num w:numId="36">
    <w:abstractNumId w:val="20"/>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2"/>
    <w:rsid w:val="000163F0"/>
    <w:rsid w:val="0006364E"/>
    <w:rsid w:val="00071B10"/>
    <w:rsid w:val="000857BD"/>
    <w:rsid w:val="00107E30"/>
    <w:rsid w:val="001439FF"/>
    <w:rsid w:val="00240DF7"/>
    <w:rsid w:val="002F0AEC"/>
    <w:rsid w:val="003007C8"/>
    <w:rsid w:val="0036137C"/>
    <w:rsid w:val="003C3E03"/>
    <w:rsid w:val="004201D4"/>
    <w:rsid w:val="00487929"/>
    <w:rsid w:val="00512315"/>
    <w:rsid w:val="005B2733"/>
    <w:rsid w:val="00690385"/>
    <w:rsid w:val="006E04E3"/>
    <w:rsid w:val="007942E2"/>
    <w:rsid w:val="007959E2"/>
    <w:rsid w:val="007C2D82"/>
    <w:rsid w:val="007D7451"/>
    <w:rsid w:val="007E4153"/>
    <w:rsid w:val="00801A93"/>
    <w:rsid w:val="00842657"/>
    <w:rsid w:val="008D7860"/>
    <w:rsid w:val="00957F67"/>
    <w:rsid w:val="00993F33"/>
    <w:rsid w:val="009D672B"/>
    <w:rsid w:val="00AA1FE0"/>
    <w:rsid w:val="00C80599"/>
    <w:rsid w:val="00DF1448"/>
    <w:rsid w:val="00DF1812"/>
    <w:rsid w:val="00E761A1"/>
    <w:rsid w:val="00EA1EFC"/>
    <w:rsid w:val="00F11C11"/>
    <w:rsid w:val="00F24E71"/>
    <w:rsid w:val="00F743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paragraph" w:styleId="FootnoteText">
    <w:name w:val="footnote text"/>
    <w:basedOn w:val="Normal"/>
    <w:link w:val="FootnoteTextChar"/>
    <w:uiPriority w:val="99"/>
    <w:unhideWhenUsed/>
    <w:rsid w:val="00512315"/>
    <w:rPr>
      <w:sz w:val="24"/>
    </w:rPr>
  </w:style>
  <w:style w:type="character" w:customStyle="1" w:styleId="FootnoteTextChar">
    <w:name w:val="Footnote Text Char"/>
    <w:basedOn w:val="DefaultParagraphFont"/>
    <w:link w:val="FootnoteText"/>
    <w:uiPriority w:val="99"/>
    <w:rsid w:val="00512315"/>
    <w:rPr>
      <w:rFonts w:ascii="Arial" w:hAnsi="Arial"/>
      <w:sz w:val="24"/>
      <w:szCs w:val="24"/>
    </w:rPr>
  </w:style>
  <w:style w:type="character" w:styleId="FootnoteReference">
    <w:name w:val="footnote reference"/>
    <w:basedOn w:val="DefaultParagraphFont"/>
    <w:uiPriority w:val="99"/>
    <w:unhideWhenUsed/>
    <w:rsid w:val="00512315"/>
    <w:rPr>
      <w:vertAlign w:val="superscript"/>
    </w:rPr>
  </w:style>
  <w:style w:type="character" w:styleId="FollowedHyperlink">
    <w:name w:val="FollowedHyperlink"/>
    <w:basedOn w:val="DefaultParagraphFont"/>
    <w:uiPriority w:val="99"/>
    <w:semiHidden/>
    <w:unhideWhenUsed/>
    <w:rsid w:val="003007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paragraph" w:styleId="FootnoteText">
    <w:name w:val="footnote text"/>
    <w:basedOn w:val="Normal"/>
    <w:link w:val="FootnoteTextChar"/>
    <w:uiPriority w:val="99"/>
    <w:unhideWhenUsed/>
    <w:rsid w:val="00512315"/>
    <w:rPr>
      <w:sz w:val="24"/>
    </w:rPr>
  </w:style>
  <w:style w:type="character" w:customStyle="1" w:styleId="FootnoteTextChar">
    <w:name w:val="Footnote Text Char"/>
    <w:basedOn w:val="DefaultParagraphFont"/>
    <w:link w:val="FootnoteText"/>
    <w:uiPriority w:val="99"/>
    <w:rsid w:val="00512315"/>
    <w:rPr>
      <w:rFonts w:ascii="Arial" w:hAnsi="Arial"/>
      <w:sz w:val="24"/>
      <w:szCs w:val="24"/>
    </w:rPr>
  </w:style>
  <w:style w:type="character" w:styleId="FootnoteReference">
    <w:name w:val="footnote reference"/>
    <w:basedOn w:val="DefaultParagraphFont"/>
    <w:uiPriority w:val="99"/>
    <w:unhideWhenUsed/>
    <w:rsid w:val="00512315"/>
    <w:rPr>
      <w:vertAlign w:val="superscript"/>
    </w:rPr>
  </w:style>
  <w:style w:type="character" w:styleId="FollowedHyperlink">
    <w:name w:val="FollowedHyperlink"/>
    <w:basedOn w:val="DefaultParagraphFont"/>
    <w:uiPriority w:val="99"/>
    <w:semiHidden/>
    <w:unhideWhenUsed/>
    <w:rsid w:val="00300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udentservices.southtexascollege.edu/de/" TargetMode="External"/><Relationship Id="rId10" Type="http://schemas.openxmlformats.org/officeDocument/2006/relationships/hyperlink" Target="http://www.j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BE49-9EC5-A44D-A87B-FA656B8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521</Words>
  <Characters>2972</Characters>
  <Application>Microsoft Macintosh Word</Application>
  <DocSecurity>0</DocSecurity>
  <Lines>24</Lines>
  <Paragraphs>6</Paragraphs>
  <ScaleCrop>false</ScaleCrop>
  <Company>JFF</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dc:description/>
  <cp:lastModifiedBy>Sarah L. Hatton</cp:lastModifiedBy>
  <cp:revision>2</cp:revision>
  <dcterms:created xsi:type="dcterms:W3CDTF">2013-02-26T22:25:00Z</dcterms:created>
  <dcterms:modified xsi:type="dcterms:W3CDTF">2013-02-26T22:25:00Z</dcterms:modified>
</cp:coreProperties>
</file>